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39" w:rsidRDefault="00DB4539">
      <w:pPr>
        <w:pStyle w:val="Default"/>
        <w:tabs>
          <w:tab w:val="left" w:pos="142"/>
        </w:tabs>
        <w:ind w:left="-284"/>
        <w:rPr>
          <w:rFonts w:ascii="SassoonPrimaryInfant" w:hAnsi="SassoonPrimaryInfant"/>
          <w:b/>
          <w:bCs/>
          <w:sz w:val="22"/>
          <w:szCs w:val="22"/>
        </w:rPr>
      </w:pPr>
    </w:p>
    <w:p w:rsidR="00D80145" w:rsidRDefault="00D80145">
      <w:pPr>
        <w:pStyle w:val="Default"/>
        <w:tabs>
          <w:tab w:val="left" w:pos="142"/>
        </w:tabs>
        <w:ind w:left="-284"/>
        <w:rPr>
          <w:rFonts w:ascii="SassoonPrimaryInfant" w:hAnsi="SassoonPrimaryInfant" w:cs="Helvetica"/>
          <w:color w:val="2D2D2D"/>
          <w:sz w:val="22"/>
          <w:szCs w:val="22"/>
        </w:rPr>
      </w:pPr>
    </w:p>
    <w:p w:rsidR="00D80145" w:rsidRDefault="00DB4539">
      <w:pPr>
        <w:pStyle w:val="Default"/>
        <w:tabs>
          <w:tab w:val="left" w:pos="142"/>
        </w:tabs>
        <w:ind w:left="-284"/>
        <w:rPr>
          <w:rFonts w:ascii="SassoonPrimaryInfant" w:hAnsi="SassoonPrimaryInfant"/>
          <w:b/>
          <w:bCs/>
          <w:sz w:val="22"/>
          <w:szCs w:val="22"/>
        </w:rPr>
      </w:pPr>
      <w:r>
        <w:rPr>
          <w:rFonts w:ascii="SassoonPrimaryInfant" w:hAnsi="SassoonPrimaryInfant"/>
          <w:b/>
          <w:bCs/>
          <w:sz w:val="22"/>
          <w:szCs w:val="22"/>
        </w:rPr>
        <w:t xml:space="preserve">PERSON SPECIFICATION </w:t>
      </w:r>
    </w:p>
    <w:p w:rsidR="00DB4539" w:rsidRDefault="00DB4539">
      <w:pPr>
        <w:pStyle w:val="Default"/>
        <w:tabs>
          <w:tab w:val="left" w:pos="142"/>
        </w:tabs>
        <w:ind w:left="-284"/>
        <w:rPr>
          <w:rFonts w:ascii="SassoonPrimaryInfant" w:hAnsi="SassoonPrimaryInfant"/>
          <w:b/>
          <w:bCs/>
          <w:sz w:val="22"/>
          <w:szCs w:val="22"/>
        </w:rPr>
      </w:pPr>
    </w:p>
    <w:p w:rsidR="00DB4539" w:rsidRPr="00DB4539" w:rsidRDefault="00DB4539">
      <w:pPr>
        <w:pStyle w:val="Default"/>
        <w:tabs>
          <w:tab w:val="left" w:pos="142"/>
        </w:tabs>
        <w:ind w:left="-284"/>
        <w:rPr>
          <w:rFonts w:ascii="SassoonPrimaryInfant" w:hAnsi="SassoonPrimaryInfant"/>
          <w:sz w:val="22"/>
          <w:szCs w:val="22"/>
        </w:rPr>
      </w:pPr>
    </w:p>
    <w:p w:rsidR="00DB4539" w:rsidRPr="00DB4539" w:rsidRDefault="00DB4539" w:rsidP="00DB4539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b/>
          <w:bCs/>
          <w:iCs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Arial"/>
          <w:b/>
          <w:bCs/>
          <w:iCs/>
          <w:shd w:val="clear" w:color="auto" w:fill="FFFFFF"/>
          <w:lang w:eastAsia="en-GB"/>
        </w:rPr>
        <w:t xml:space="preserve">     </w:t>
      </w:r>
      <w:r w:rsidRPr="00DB4539">
        <w:rPr>
          <w:rFonts w:ascii="SassoonPrimaryInfant" w:eastAsia="Times New Roman" w:hAnsi="SassoonPrimaryInfant" w:cs="Arial"/>
          <w:b/>
          <w:bCs/>
          <w:iCs/>
          <w:shd w:val="clear" w:color="auto" w:fill="FFFFFF"/>
          <w:lang w:eastAsia="en-GB"/>
        </w:rPr>
        <w:t>Education and Experience</w:t>
      </w:r>
    </w:p>
    <w:p w:rsidR="00DB4539" w:rsidRPr="00DB4539" w:rsidRDefault="00DB4539" w:rsidP="00DB4539">
      <w:pPr>
        <w:shd w:val="clear" w:color="auto" w:fill="FFFFFF"/>
        <w:spacing w:after="0" w:line="240" w:lineRule="auto"/>
        <w:rPr>
          <w:rFonts w:ascii="SassoonPrimaryInfant" w:eastAsia="Times New Roman" w:hAnsi="SassoonPrimaryInfant" w:cs="Arial"/>
          <w:b/>
          <w:bCs/>
          <w:iCs/>
          <w:shd w:val="clear" w:color="auto" w:fill="FFFFFF"/>
          <w:lang w:eastAsia="en-GB"/>
        </w:rPr>
      </w:pP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Experience of development, management and operation of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</w:t>
      </w: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manag</w:t>
      </w:r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ement</w:t>
      </w:r>
      <w:proofErr w:type="gramEnd"/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information systems (MIS)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</w:t>
      </w: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Exc</w:t>
      </w:r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ellent literacy/numeracy skills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High level of competence using the internet, word processing,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</w:t>
      </w:r>
      <w:proofErr w:type="gramStart"/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data</w:t>
      </w:r>
      <w:proofErr w:type="gramEnd"/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bases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Experience of fundraising within a school setting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</w:p>
    <w:p w:rsidR="00DB4539" w:rsidRPr="00DB4539" w:rsidRDefault="00DB4539" w:rsidP="00DB4539">
      <w:p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Arial"/>
          <w:b/>
          <w:bCs/>
          <w:iCs/>
          <w:shd w:val="clear" w:color="auto" w:fill="FFFFFF"/>
          <w:lang w:eastAsia="en-GB"/>
        </w:rPr>
        <w:t xml:space="preserve">     </w:t>
      </w:r>
      <w:r w:rsidRPr="00DB4539">
        <w:rPr>
          <w:rFonts w:ascii="SassoonPrimaryInfant" w:eastAsia="Times New Roman" w:hAnsi="SassoonPrimaryInfant" w:cs="Arial"/>
          <w:b/>
          <w:bCs/>
          <w:iCs/>
          <w:shd w:val="clear" w:color="auto" w:fill="FFFFFF"/>
          <w:lang w:eastAsia="en-GB"/>
        </w:rPr>
        <w:t>Knowledge, Skills and Abilities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Effective use of ICT and other</w:t>
      </w:r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specialist equipment/resources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Ability to exchange a wide range of factual information with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various</w:t>
      </w:r>
      <w:proofErr w:type="gram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stakeholders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Full working knowledge of relevant policies/codes of practice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and</w:t>
      </w:r>
      <w:proofErr w:type="gram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aw</w:t>
      </w:r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areness of relevant legislation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Ability to rel</w:t>
      </w:r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ate well to children and adults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Ability to work constructively as a team, understanding school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roles</w:t>
      </w:r>
      <w:proofErr w:type="gram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and responsibilities and the post holder’s position within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these</w:t>
      </w:r>
      <w:proofErr w:type="gram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; covering for work colleagues in their absence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Ability to </w:t>
      </w:r>
      <w:proofErr w:type="spell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self evaluate</w:t>
      </w:r>
      <w:proofErr w:type="spell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learning needs and actively seek learning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opportunities</w:t>
      </w:r>
      <w:proofErr w:type="gram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.</w:t>
      </w:r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Awareness of general health and safety risks in an office/school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environment</w:t>
      </w:r>
      <w:proofErr w:type="gramEnd"/>
    </w:p>
    <w:p w:rsidR="00DB4539" w:rsidRPr="00DB4539" w:rsidRDefault="00DB4539" w:rsidP="00DB453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Knowledge of and commitment to safeguarding the welfare of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proofErr w:type="gramStart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>children</w:t>
      </w:r>
      <w:proofErr w:type="gramEnd"/>
      <w:r w:rsidRPr="00DB4539"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  <w:t xml:space="preserve"> and young people within the school.</w:t>
      </w:r>
    </w:p>
    <w:p w:rsidR="00DB4539" w:rsidRPr="00DB4539" w:rsidRDefault="00DB4539" w:rsidP="00DB4539">
      <w:pPr>
        <w:pStyle w:val="ListParagraph"/>
        <w:shd w:val="clear" w:color="auto" w:fill="FFFFFF"/>
        <w:spacing w:after="0" w:line="240" w:lineRule="auto"/>
        <w:rPr>
          <w:rFonts w:ascii="SassoonPrimaryInfant" w:eastAsia="Times New Roman" w:hAnsi="SassoonPrimaryInfant" w:cs="Times New Roman"/>
          <w:shd w:val="clear" w:color="auto" w:fill="FFFFFF"/>
          <w:lang w:eastAsia="en-GB"/>
        </w:rPr>
      </w:pPr>
      <w:bookmarkStart w:id="0" w:name="_GoBack"/>
      <w:bookmarkEnd w:id="0"/>
    </w:p>
    <w:sectPr w:rsidR="00DB4539" w:rsidRPr="00DB4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829"/>
    <w:multiLevelType w:val="hybridMultilevel"/>
    <w:tmpl w:val="875E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01F35"/>
    <w:multiLevelType w:val="multilevel"/>
    <w:tmpl w:val="D456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83D83"/>
    <w:multiLevelType w:val="hybridMultilevel"/>
    <w:tmpl w:val="096A8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C2DE8"/>
    <w:multiLevelType w:val="hybridMultilevel"/>
    <w:tmpl w:val="A93622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215EE"/>
    <w:multiLevelType w:val="multilevel"/>
    <w:tmpl w:val="DBD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5"/>
    <w:rsid w:val="00B70458"/>
    <w:rsid w:val="00D80145"/>
    <w:rsid w:val="00DB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0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50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86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688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62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581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466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143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58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39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527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75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279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512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6019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75668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247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9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8958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379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47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12029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34690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600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904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86400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4234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6842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565098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601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3208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2040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825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01947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9031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37720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615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7087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301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A2425-930F-4171-BB85-98650398ED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4F7A1-87F9-4FE1-A350-4319B1658D22}"/>
</file>

<file path=customXml/itemProps3.xml><?xml version="1.0" encoding="utf-8"?>
<ds:datastoreItem xmlns:ds="http://schemas.openxmlformats.org/officeDocument/2006/customXml" ds:itemID="{B137A3A0-41FA-4A73-9416-5BA36CE292AC}"/>
</file>

<file path=customXml/itemProps4.xml><?xml version="1.0" encoding="utf-8"?>
<ds:datastoreItem xmlns:ds="http://schemas.openxmlformats.org/officeDocument/2006/customXml" ds:itemID="{08162116-89F3-40CD-ABF9-8061FE7F52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Cashier</dc:creator>
  <cp:lastModifiedBy>supply</cp:lastModifiedBy>
  <cp:revision>2</cp:revision>
  <dcterms:created xsi:type="dcterms:W3CDTF">2020-05-22T17:03:00Z</dcterms:created>
  <dcterms:modified xsi:type="dcterms:W3CDTF">2020-05-22T17:03:00Z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