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CE6BCC" w14:textId="77777777" w:rsidTr="00545A74">
        <w:trPr>
          <w:trHeight w:val="828"/>
        </w:trPr>
        <w:tc>
          <w:tcPr>
            <w:tcW w:w="4261" w:type="dxa"/>
            <w:shd w:val="clear" w:color="auto" w:fill="D9D9D9"/>
          </w:tcPr>
          <w:p w14:paraId="0B4AD100" w14:textId="7E65EF62"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BE3299">
              <w:rPr>
                <w:rFonts w:ascii="Calibri" w:hAnsi="Calibri" w:cs="Calibri"/>
              </w:rPr>
              <w:t>Compliance Officer</w:t>
            </w:r>
          </w:p>
          <w:p w14:paraId="5040959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8B86CBE" w14:textId="5955FD8F"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BE3299">
              <w:rPr>
                <w:rFonts w:ascii="Calibri" w:hAnsi="Calibri" w:cs="Calibri"/>
                <w:bCs/>
              </w:rPr>
              <w:t>PO4</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06BB62E7" w14:textId="77777777" w:rsidR="00BE3299" w:rsidRPr="00237A85" w:rsidRDefault="00783C6D" w:rsidP="00BE3299">
            <w:pPr>
              <w:autoSpaceDE w:val="0"/>
              <w:autoSpaceDN w:val="0"/>
              <w:adjustRightInd w:val="0"/>
              <w:rPr>
                <w:rFonts w:ascii="Calibri" w:hAnsi="Calibri" w:cs="Calibri"/>
              </w:rPr>
            </w:pPr>
            <w:r w:rsidRPr="005B3EBF">
              <w:rPr>
                <w:rFonts w:ascii="Calibri" w:hAnsi="Calibri" w:cs="Calibri"/>
                <w:b/>
                <w:bCs/>
              </w:rPr>
              <w:t xml:space="preserve">Section: </w:t>
            </w:r>
            <w:r w:rsidR="00BE3299">
              <w:rPr>
                <w:rFonts w:ascii="Calibri" w:hAnsi="Calibri" w:cs="Calibri"/>
              </w:rPr>
              <w:t>Strategy and Development</w:t>
            </w:r>
          </w:p>
          <w:p w14:paraId="2A0A3885" w14:textId="77777777" w:rsidR="0044737D" w:rsidRPr="005B3EBF" w:rsidRDefault="0044737D" w:rsidP="000E62C7">
            <w:pPr>
              <w:autoSpaceDE w:val="0"/>
              <w:autoSpaceDN w:val="0"/>
              <w:adjustRightInd w:val="0"/>
              <w:rPr>
                <w:rFonts w:ascii="Calibri" w:hAnsi="Calibri" w:cs="Calibri"/>
                <w:b/>
                <w:bCs/>
              </w:rPr>
            </w:pP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58C09C56"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E3299" w:rsidRPr="004E1FC2">
              <w:rPr>
                <w:rFonts w:ascii="Calibri" w:hAnsi="Calibri" w:cs="Calibri"/>
                <w:bCs/>
              </w:rPr>
              <w:t>Housing &amp; Regeneration</w:t>
            </w:r>
          </w:p>
          <w:p w14:paraId="705374E6" w14:textId="77777777" w:rsidR="0044737D" w:rsidRPr="0026064E" w:rsidRDefault="0044737D" w:rsidP="000E62C7">
            <w:pPr>
              <w:autoSpaceDE w:val="0"/>
              <w:autoSpaceDN w:val="0"/>
              <w:adjustRightInd w:val="0"/>
              <w:rPr>
                <w:rFonts w:ascii="Calibri" w:hAnsi="Calibri" w:cs="Calibri"/>
                <w:bCs/>
              </w:rPr>
            </w:pPr>
          </w:p>
        </w:tc>
      </w:tr>
      <w:tr w:rsidR="000E62C7" w:rsidRPr="005B3EBF" w14:paraId="1D874C50" w14:textId="77777777" w:rsidTr="00545A74">
        <w:trPr>
          <w:trHeight w:val="828"/>
        </w:trPr>
        <w:tc>
          <w:tcPr>
            <w:tcW w:w="4261" w:type="dxa"/>
            <w:shd w:val="clear" w:color="auto" w:fill="D9D9D9"/>
          </w:tcPr>
          <w:p w14:paraId="5CB5C744" w14:textId="20D4B4F9"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BE3299">
              <w:rPr>
                <w:rFonts w:ascii="Calibri" w:hAnsi="Calibri" w:cs="Calibri"/>
                <w:b/>
                <w:bCs/>
              </w:rPr>
              <w:t xml:space="preserve"> </w:t>
            </w:r>
            <w:r w:rsidR="00BE3299">
              <w:rPr>
                <w:rFonts w:ascii="Calibri" w:hAnsi="Calibri" w:cs="Arial"/>
              </w:rPr>
              <w:t>Strategic Technical and Compliance Manager</w:t>
            </w:r>
          </w:p>
          <w:p w14:paraId="44AA6042"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510BD205" w:rsidR="000E62C7" w:rsidRPr="00BE3299" w:rsidRDefault="00FB6581" w:rsidP="000E62C7">
            <w:pPr>
              <w:autoSpaceDE w:val="0"/>
              <w:autoSpaceDN w:val="0"/>
              <w:adjustRightInd w:val="0"/>
              <w:rPr>
                <w:rFonts w:ascii="Calibri" w:hAnsi="Calibri" w:cs="Calibri"/>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BE3299">
              <w:rPr>
                <w:rFonts w:ascii="Calibri" w:hAnsi="Calibri" w:cs="Calibri"/>
                <w:b/>
                <w:bCs/>
              </w:rPr>
              <w:t xml:space="preserve"> </w:t>
            </w:r>
            <w:r w:rsidR="00BE3299">
              <w:rPr>
                <w:rFonts w:ascii="Calibri" w:hAnsi="Calibri" w:cs="Calibri"/>
              </w:rPr>
              <w:t>0</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0A485173"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BE3299">
              <w:rPr>
                <w:rFonts w:ascii="Calibri" w:hAnsi="Calibri" w:cs="Calibri"/>
                <w:b/>
                <w:bCs/>
              </w:rPr>
              <w:t xml:space="preserve"> </w:t>
            </w:r>
            <w:r w:rsidR="00A54DA5">
              <w:rPr>
                <w:rFonts w:ascii="Calibri" w:hAnsi="Calibri" w:cs="Calibri"/>
                <w:b/>
                <w:bCs/>
              </w:rPr>
              <w:t>2</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3D6CA8AB"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A54DA5">
              <w:rPr>
                <w:rFonts w:ascii="Calibri" w:hAnsi="Calibri" w:cs="Calibri"/>
              </w:rPr>
              <w:t>January 2020</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B525602" w14:textId="77777777" w:rsidR="00A54DA5" w:rsidRDefault="00A54DA5" w:rsidP="00A54DA5">
      <w:pPr>
        <w:rPr>
          <w:rFonts w:ascii="Calibri" w:hAnsi="Calibri" w:cs="Arial"/>
        </w:rPr>
      </w:pPr>
      <w:r w:rsidRPr="00D01A77">
        <w:rPr>
          <w:rFonts w:ascii="Calibri" w:hAnsi="Calibri" w:cs="Arial"/>
        </w:rPr>
        <w:t>Responsible to the</w:t>
      </w:r>
      <w:r>
        <w:rPr>
          <w:rFonts w:ascii="Calibri" w:hAnsi="Calibri" w:cs="Arial"/>
        </w:rPr>
        <w:t xml:space="preserve"> Strategic Technical and Compliance Manager</w:t>
      </w:r>
      <w:r w:rsidRPr="00D01A77">
        <w:rPr>
          <w:rFonts w:ascii="Calibri" w:hAnsi="Calibri" w:cs="Arial"/>
        </w:rPr>
        <w:t xml:space="preserve"> </w:t>
      </w:r>
      <w:r>
        <w:rPr>
          <w:rFonts w:ascii="Calibri" w:hAnsi="Calibri" w:cs="Arial"/>
        </w:rPr>
        <w:t xml:space="preserve">for assisting in ensuring that the </w:t>
      </w:r>
      <w:r w:rsidRPr="00D01A77">
        <w:rPr>
          <w:rFonts w:ascii="Calibri" w:hAnsi="Calibri" w:cs="Arial"/>
        </w:rPr>
        <w:t>programming</w:t>
      </w:r>
      <w:r>
        <w:rPr>
          <w:rFonts w:ascii="Calibri" w:hAnsi="Calibri" w:cs="Arial"/>
        </w:rPr>
        <w:t>,</w:t>
      </w:r>
      <w:r w:rsidRPr="00D01A77">
        <w:rPr>
          <w:rFonts w:ascii="Calibri" w:hAnsi="Calibri" w:cs="Arial"/>
        </w:rPr>
        <w:t xml:space="preserve"> execution</w:t>
      </w:r>
      <w:r>
        <w:rPr>
          <w:rFonts w:ascii="Calibri" w:hAnsi="Calibri" w:cs="Arial"/>
        </w:rPr>
        <w:t xml:space="preserve"> and recording of</w:t>
      </w:r>
      <w:r w:rsidRPr="00D01A77">
        <w:rPr>
          <w:rFonts w:ascii="Calibri" w:hAnsi="Calibri" w:cs="Arial"/>
        </w:rPr>
        <w:t xml:space="preserve"> </w:t>
      </w:r>
      <w:r>
        <w:rPr>
          <w:rFonts w:ascii="Calibri" w:hAnsi="Calibri" w:cs="Arial"/>
        </w:rPr>
        <w:t xml:space="preserve">all building related Health &amp; Safety issues relating to asbestos, fire and water quality within the housing stock is kept current and updated. </w:t>
      </w:r>
    </w:p>
    <w:p w14:paraId="20BA7BA5" w14:textId="77777777" w:rsidR="00A54DA5" w:rsidRDefault="00A54DA5" w:rsidP="00A54DA5">
      <w:pPr>
        <w:rPr>
          <w:rFonts w:ascii="Calibri" w:hAnsi="Calibri" w:cs="Arial"/>
        </w:rPr>
      </w:pPr>
    </w:p>
    <w:p w14:paraId="2D263897" w14:textId="77777777" w:rsidR="00A54DA5" w:rsidRDefault="00A54DA5" w:rsidP="00A54DA5">
      <w:pPr>
        <w:rPr>
          <w:rFonts w:ascii="Calibri" w:hAnsi="Calibri" w:cs="Arial"/>
        </w:rPr>
      </w:pPr>
      <w:r>
        <w:rPr>
          <w:rFonts w:ascii="Calibri" w:hAnsi="Calibri" w:cs="Arial"/>
        </w:rPr>
        <w:t xml:space="preserve">To assist in the monitoring and reporting on the status of compliance and associated risks.  This will involve liaison with relevant officers across the Housing and Regeneration Department to ensure that inspections are undertaken, and databases are updated as required.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6559F509" w14:textId="465FD3E3" w:rsidR="00343CED" w:rsidRDefault="00343CED" w:rsidP="00343CED">
      <w:pPr>
        <w:rPr>
          <w:rFonts w:ascii="Calibri" w:hAnsi="Calibri" w:cs="Arial"/>
        </w:rPr>
      </w:pPr>
    </w:p>
    <w:p w14:paraId="5E2506DA" w14:textId="77777777" w:rsidR="00A54DA5" w:rsidRPr="005B34B1" w:rsidRDefault="00A54DA5" w:rsidP="00A54DA5">
      <w:pPr>
        <w:pStyle w:val="ListParagraph"/>
        <w:numPr>
          <w:ilvl w:val="0"/>
          <w:numId w:val="32"/>
        </w:numPr>
        <w:rPr>
          <w:rFonts w:ascii="Calibri" w:hAnsi="Calibri" w:cs="Arial"/>
        </w:rPr>
      </w:pPr>
      <w:r w:rsidRPr="005B34B1">
        <w:rPr>
          <w:rFonts w:ascii="Calibri" w:hAnsi="Calibri" w:cs="Arial"/>
        </w:rPr>
        <w:t xml:space="preserve">As directed, manages compliance programmes relating to asbestos, fire and </w:t>
      </w:r>
      <w:r>
        <w:rPr>
          <w:rFonts w:ascii="Calibri" w:hAnsi="Calibri" w:cs="Arial"/>
        </w:rPr>
        <w:t>water quality</w:t>
      </w:r>
      <w:r w:rsidRPr="005B34B1">
        <w:rPr>
          <w:rFonts w:ascii="Calibri" w:hAnsi="Calibri" w:cs="Arial"/>
        </w:rPr>
        <w:t>, ensuring inspection results, reports, surveys and certification is accurately recorded</w:t>
      </w:r>
      <w:r>
        <w:rPr>
          <w:rFonts w:ascii="Calibri" w:hAnsi="Calibri" w:cs="Arial"/>
        </w:rPr>
        <w:t xml:space="preserve"> and legislation is met</w:t>
      </w:r>
      <w:r w:rsidRPr="005B34B1">
        <w:rPr>
          <w:rFonts w:ascii="Calibri" w:hAnsi="Calibri" w:cs="Arial"/>
        </w:rPr>
        <w:t>.  Uses results to highlight and prevent non-compliance issues, reporting these in the first instance to the Strategic Technical and Compliance Manager.</w:t>
      </w:r>
    </w:p>
    <w:p w14:paraId="4D84AED6" w14:textId="77777777" w:rsidR="00A54DA5" w:rsidRDefault="00A54DA5" w:rsidP="00A54DA5">
      <w:pPr>
        <w:rPr>
          <w:rFonts w:ascii="Calibri" w:hAnsi="Calibri" w:cs="Arial"/>
        </w:rPr>
      </w:pPr>
    </w:p>
    <w:p w14:paraId="7634392E" w14:textId="77777777" w:rsidR="00A54DA5" w:rsidRPr="00AF6578" w:rsidRDefault="00A54DA5" w:rsidP="00A54DA5">
      <w:pPr>
        <w:pStyle w:val="ListParagraph"/>
        <w:numPr>
          <w:ilvl w:val="0"/>
          <w:numId w:val="32"/>
        </w:numPr>
        <w:rPr>
          <w:rFonts w:ascii="Calibri" w:hAnsi="Calibri" w:cs="Arial"/>
        </w:rPr>
      </w:pPr>
      <w:r w:rsidRPr="00AF6578">
        <w:rPr>
          <w:rFonts w:ascii="Calibri" w:hAnsi="Calibri" w:cs="Arial"/>
        </w:rPr>
        <w:t>As directed, updates the Wandsworth Housing and Regeneration Department Asbestos Management Plan and shares the plan with relevant colleagues as required.  Acts as point of contact for contractors carrying out the testing and surveying of housing property for asbestos.</w:t>
      </w:r>
    </w:p>
    <w:p w14:paraId="4C829A10" w14:textId="77777777" w:rsidR="00A54DA5" w:rsidRDefault="00A54DA5" w:rsidP="00A54DA5">
      <w:pPr>
        <w:rPr>
          <w:rFonts w:ascii="Calibri" w:hAnsi="Calibri" w:cs="Arial"/>
        </w:rPr>
      </w:pPr>
    </w:p>
    <w:p w14:paraId="495D377F" w14:textId="77777777" w:rsidR="00A54DA5" w:rsidRPr="005B34B1" w:rsidRDefault="00A54DA5" w:rsidP="00A54DA5">
      <w:pPr>
        <w:pStyle w:val="ListParagraph"/>
        <w:numPr>
          <w:ilvl w:val="0"/>
          <w:numId w:val="32"/>
        </w:numPr>
        <w:rPr>
          <w:rFonts w:ascii="Calibri" w:hAnsi="Calibri" w:cs="Arial"/>
        </w:rPr>
      </w:pPr>
      <w:r w:rsidRPr="005B34B1">
        <w:rPr>
          <w:rFonts w:asciiTheme="minorHAnsi" w:hAnsiTheme="minorHAnsi" w:cstheme="minorHAnsi"/>
        </w:rPr>
        <w:t xml:space="preserve">Monitors the Fire Risk Assessment (FRA) </w:t>
      </w:r>
      <w:r w:rsidRPr="00504951">
        <w:rPr>
          <w:rFonts w:asciiTheme="minorHAnsi" w:hAnsiTheme="minorHAnsi" w:cstheme="minorHAnsi"/>
        </w:rPr>
        <w:t>database to ensure all</w:t>
      </w:r>
      <w:r w:rsidRPr="005B34B1">
        <w:rPr>
          <w:rFonts w:asciiTheme="minorHAnsi" w:hAnsiTheme="minorHAnsi" w:cstheme="minorHAnsi"/>
        </w:rPr>
        <w:t xml:space="preserve"> communal areas of the Housing stock have a current FRA held centrally and that there is a programme in place to update the assessments as necessary.  Liaises with external contractors to ensure the correct installation and certification of technology fitted in blocks.</w:t>
      </w:r>
      <w:r>
        <w:rPr>
          <w:rFonts w:asciiTheme="minorHAnsi" w:hAnsiTheme="minorHAnsi" w:cstheme="minorHAnsi"/>
        </w:rPr>
        <w:t xml:space="preserve">  </w:t>
      </w:r>
      <w:r w:rsidRPr="005B34B1">
        <w:rPr>
          <w:rFonts w:ascii="Calibri" w:hAnsi="Calibri" w:cs="Arial"/>
        </w:rPr>
        <w:t xml:space="preserve">Assists in carrying out FRA reviews before issuing to members of the public or residents and answers any resulting queries or deals with any issues raised. </w:t>
      </w:r>
    </w:p>
    <w:p w14:paraId="1826DB41" w14:textId="77777777" w:rsidR="00A54DA5" w:rsidRPr="00B96449" w:rsidRDefault="00A54DA5" w:rsidP="00A54DA5">
      <w:pPr>
        <w:rPr>
          <w:rFonts w:asciiTheme="minorHAnsi" w:hAnsiTheme="minorHAnsi" w:cstheme="minorHAnsi"/>
        </w:rPr>
      </w:pPr>
    </w:p>
    <w:p w14:paraId="25B61778" w14:textId="77777777" w:rsidR="00A54DA5" w:rsidRPr="005B34B1" w:rsidRDefault="00A54DA5" w:rsidP="00A54DA5">
      <w:pPr>
        <w:pStyle w:val="ListParagraph"/>
        <w:numPr>
          <w:ilvl w:val="0"/>
          <w:numId w:val="32"/>
        </w:numPr>
        <w:rPr>
          <w:rFonts w:asciiTheme="minorHAnsi" w:hAnsiTheme="minorHAnsi" w:cstheme="minorHAnsi"/>
        </w:rPr>
      </w:pPr>
      <w:r w:rsidRPr="005B34B1">
        <w:rPr>
          <w:rFonts w:asciiTheme="minorHAnsi" w:hAnsiTheme="minorHAnsi" w:cstheme="minorHAnsi"/>
        </w:rPr>
        <w:t xml:space="preserve">Follows information sharing protocols to enable the effective sharing of FRA details with relevant officers, London Fire Brigade, external contractors and residents.  Monitors the progress of fire safety work identified during routine building inspections. </w:t>
      </w:r>
    </w:p>
    <w:p w14:paraId="55AF1BAD" w14:textId="77777777" w:rsidR="00A54DA5" w:rsidRDefault="00A54DA5" w:rsidP="00A54DA5">
      <w:pPr>
        <w:rPr>
          <w:rFonts w:ascii="Calibri" w:hAnsi="Calibri" w:cs="Arial"/>
        </w:rPr>
      </w:pPr>
    </w:p>
    <w:p w14:paraId="39C5A7D2" w14:textId="77777777" w:rsidR="00A54DA5" w:rsidRPr="005B34B1" w:rsidRDefault="00A54DA5" w:rsidP="00A54DA5">
      <w:pPr>
        <w:pStyle w:val="ListParagraph"/>
        <w:numPr>
          <w:ilvl w:val="0"/>
          <w:numId w:val="32"/>
        </w:numPr>
        <w:rPr>
          <w:rFonts w:ascii="Arial" w:hAnsi="Arial" w:cs="Arial"/>
        </w:rPr>
      </w:pPr>
      <w:r w:rsidRPr="005B34B1">
        <w:rPr>
          <w:rFonts w:ascii="Calibri" w:hAnsi="Calibri" w:cs="Arial"/>
        </w:rPr>
        <w:t>Ensures the testing and monitoring of cold-water storage is undertaken in line with the HSE requirements and any current legislation and that results are entered on the central database.  Assists the Strategic Technical and Compliance Manager in ensuring</w:t>
      </w:r>
      <w:r w:rsidRPr="005B34B1">
        <w:rPr>
          <w:rFonts w:asciiTheme="minorHAnsi" w:hAnsiTheme="minorHAnsi" w:cstheme="minorHAnsi"/>
        </w:rPr>
        <w:t xml:space="preserve"> that immediate appropriate action is taken and all relevant parties notified in the event Legionellosis is detected.</w:t>
      </w:r>
      <w:r w:rsidRPr="005B34B1">
        <w:rPr>
          <w:rFonts w:ascii="Arial" w:hAnsi="Arial" w:cs="Arial"/>
        </w:rPr>
        <w:t xml:space="preserve"> </w:t>
      </w:r>
    </w:p>
    <w:p w14:paraId="6EC3F34F" w14:textId="77777777" w:rsidR="00A54DA5" w:rsidRDefault="00A54DA5" w:rsidP="00A54DA5">
      <w:pPr>
        <w:rPr>
          <w:rFonts w:ascii="Calibri" w:hAnsi="Calibri" w:cs="Arial"/>
        </w:rPr>
      </w:pPr>
    </w:p>
    <w:p w14:paraId="6E5A1D99" w14:textId="77777777" w:rsidR="00A54DA5" w:rsidRPr="005B34B1" w:rsidRDefault="00A54DA5" w:rsidP="00A54DA5">
      <w:pPr>
        <w:pStyle w:val="ListParagraph"/>
        <w:numPr>
          <w:ilvl w:val="0"/>
          <w:numId w:val="32"/>
        </w:numPr>
        <w:rPr>
          <w:rFonts w:asciiTheme="minorHAnsi" w:hAnsiTheme="minorHAnsi" w:cs="Arial"/>
        </w:rPr>
      </w:pPr>
      <w:r w:rsidRPr="005B34B1">
        <w:rPr>
          <w:rFonts w:ascii="Calibri" w:hAnsi="Calibri" w:cs="Arial"/>
        </w:rPr>
        <w:t xml:space="preserve">Assists </w:t>
      </w:r>
      <w:r>
        <w:rPr>
          <w:rFonts w:ascii="Calibri" w:hAnsi="Calibri" w:cs="Arial"/>
        </w:rPr>
        <w:t xml:space="preserve">the Strategic Technical and Compliance Manager </w:t>
      </w:r>
      <w:r w:rsidRPr="005B34B1">
        <w:rPr>
          <w:rFonts w:ascii="Calibri" w:hAnsi="Calibri" w:cs="Arial"/>
        </w:rPr>
        <w:t xml:space="preserve">in </w:t>
      </w:r>
      <w:r>
        <w:rPr>
          <w:rFonts w:ascii="Calibri" w:hAnsi="Calibri" w:cs="Arial"/>
        </w:rPr>
        <w:t xml:space="preserve">matters relating to energy efficiency, including compliance with relevant legislation and bidding for funding as appropriate.  To include </w:t>
      </w:r>
      <w:r w:rsidRPr="005B34B1">
        <w:rPr>
          <w:rFonts w:ascii="Calibri" w:hAnsi="Calibri" w:cs="Arial"/>
        </w:rPr>
        <w:t xml:space="preserve">the review of Energy Performance Certificates </w:t>
      </w:r>
      <w:r w:rsidRPr="005B34B1">
        <w:rPr>
          <w:rFonts w:asciiTheme="minorHAnsi" w:hAnsiTheme="minorHAnsi" w:cs="Arial"/>
        </w:rPr>
        <w:t>for</w:t>
      </w:r>
      <w:r>
        <w:rPr>
          <w:rFonts w:asciiTheme="minorHAnsi" w:hAnsiTheme="minorHAnsi" w:cs="Arial"/>
        </w:rPr>
        <w:t xml:space="preserve"> both Council owned and</w:t>
      </w:r>
      <w:r w:rsidRPr="005B34B1">
        <w:rPr>
          <w:rFonts w:asciiTheme="minorHAnsi" w:hAnsiTheme="minorHAnsi" w:cs="Arial"/>
        </w:rPr>
        <w:t xml:space="preserve"> new build council properties to ensure consistency of results and oversee updating of the EPC database, including following refurbishments.  </w:t>
      </w:r>
      <w:r w:rsidRPr="006C72FB">
        <w:rPr>
          <w:rFonts w:asciiTheme="minorHAnsi" w:hAnsiTheme="minorHAnsi" w:cs="Arial"/>
        </w:rPr>
        <w:t>Updates the Department’s Standard Assessment Procedure (SAP) database to comply with government energy efficiency reporting requirements, producing related reports and statistics as required, including the Council’s annual average SAP rating.</w:t>
      </w:r>
    </w:p>
    <w:p w14:paraId="122E792F" w14:textId="77777777" w:rsidR="00A54DA5" w:rsidRPr="008759B2" w:rsidRDefault="00A54DA5" w:rsidP="00A54DA5">
      <w:pPr>
        <w:rPr>
          <w:rFonts w:asciiTheme="minorHAnsi" w:hAnsiTheme="minorHAnsi" w:cs="Arial"/>
        </w:rPr>
      </w:pPr>
    </w:p>
    <w:p w14:paraId="1BEBCAA1" w14:textId="77777777" w:rsidR="00A54DA5" w:rsidRPr="005B34B1" w:rsidRDefault="00A54DA5" w:rsidP="00A54DA5">
      <w:pPr>
        <w:pStyle w:val="ListParagraph"/>
        <w:numPr>
          <w:ilvl w:val="0"/>
          <w:numId w:val="32"/>
        </w:numPr>
        <w:rPr>
          <w:rFonts w:cs="Arial"/>
          <w:bCs/>
        </w:rPr>
      </w:pPr>
      <w:r w:rsidRPr="005B34B1">
        <w:rPr>
          <w:rFonts w:asciiTheme="minorHAnsi" w:hAnsiTheme="minorHAnsi" w:cs="Arial"/>
        </w:rPr>
        <w:t xml:space="preserve">Assists the </w:t>
      </w:r>
      <w:r w:rsidRPr="005B34B1">
        <w:rPr>
          <w:rFonts w:ascii="Calibri" w:hAnsi="Calibri" w:cs="Arial"/>
        </w:rPr>
        <w:t xml:space="preserve">Strategic Technical and Compliance Manager in managing contracts relating to contractors carrying out works relating to housing compliance on behalf of the Department.  </w:t>
      </w:r>
    </w:p>
    <w:p w14:paraId="3FC95210" w14:textId="77777777" w:rsidR="00A54DA5" w:rsidRPr="00BD3B6B" w:rsidRDefault="00A54DA5" w:rsidP="00A54DA5">
      <w:pPr>
        <w:ind w:firstLine="60"/>
        <w:rPr>
          <w:rFonts w:ascii="Calibri" w:hAnsi="Calibri" w:cs="Arial"/>
        </w:rPr>
      </w:pPr>
    </w:p>
    <w:p w14:paraId="295E05E8" w14:textId="77777777" w:rsidR="00A54DA5" w:rsidRPr="005B34B1" w:rsidRDefault="00A54DA5" w:rsidP="00A54DA5">
      <w:pPr>
        <w:pStyle w:val="ListParagraph"/>
        <w:numPr>
          <w:ilvl w:val="0"/>
          <w:numId w:val="32"/>
        </w:numPr>
        <w:rPr>
          <w:rFonts w:asciiTheme="minorHAnsi" w:hAnsiTheme="minorHAnsi" w:cstheme="minorHAnsi"/>
          <w:bCs/>
        </w:rPr>
      </w:pPr>
      <w:r w:rsidRPr="005B34B1">
        <w:rPr>
          <w:rFonts w:asciiTheme="minorHAnsi" w:hAnsiTheme="minorHAnsi" w:cstheme="minorHAnsi"/>
          <w:bCs/>
        </w:rPr>
        <w:lastRenderedPageBreak/>
        <w:t>Positively intervenes and stop any unsafe or poor-quality works identified in the course of contractor monitoring.  Identifies and escalate any issues/risks to the Strategic Technical and Compliance Manager/Head of Housing Policy</w:t>
      </w:r>
      <w:r>
        <w:rPr>
          <w:rFonts w:asciiTheme="minorHAnsi" w:hAnsiTheme="minorHAnsi" w:cstheme="minorHAnsi"/>
          <w:bCs/>
        </w:rPr>
        <w:t>,</w:t>
      </w:r>
      <w:r w:rsidRPr="005B34B1">
        <w:rPr>
          <w:rFonts w:asciiTheme="minorHAnsi" w:hAnsiTheme="minorHAnsi" w:cstheme="minorHAnsi"/>
          <w:bCs/>
        </w:rPr>
        <w:t xml:space="preserve"> Performance</w:t>
      </w:r>
      <w:r>
        <w:rPr>
          <w:rFonts w:asciiTheme="minorHAnsi" w:hAnsiTheme="minorHAnsi" w:cstheme="minorHAnsi"/>
          <w:bCs/>
        </w:rPr>
        <w:t xml:space="preserve"> and Compliance</w:t>
      </w:r>
      <w:r w:rsidRPr="005B34B1">
        <w:rPr>
          <w:rFonts w:asciiTheme="minorHAnsi" w:hAnsiTheme="minorHAnsi" w:cstheme="minorHAnsi"/>
          <w:bCs/>
        </w:rPr>
        <w:t>.</w:t>
      </w:r>
      <w:r>
        <w:rPr>
          <w:rFonts w:asciiTheme="minorHAnsi" w:hAnsiTheme="minorHAnsi" w:cstheme="minorHAnsi"/>
          <w:bCs/>
        </w:rPr>
        <w:br/>
      </w:r>
    </w:p>
    <w:p w14:paraId="171563CF" w14:textId="77777777" w:rsidR="00A54DA5" w:rsidRPr="005B34B1" w:rsidRDefault="00A54DA5" w:rsidP="00A54DA5">
      <w:pPr>
        <w:pStyle w:val="ListParagraph"/>
        <w:numPr>
          <w:ilvl w:val="0"/>
          <w:numId w:val="32"/>
        </w:numPr>
        <w:rPr>
          <w:rFonts w:ascii="Calibri" w:hAnsi="Calibri" w:cs="Arial"/>
        </w:rPr>
      </w:pPr>
      <w:r w:rsidRPr="005B34B1">
        <w:rPr>
          <w:rFonts w:ascii="Calibri" w:hAnsi="Calibri" w:cs="Arial"/>
        </w:rPr>
        <w:t>As directed, assists with the periodic survey of the housing stock</w:t>
      </w:r>
      <w:r>
        <w:rPr>
          <w:rFonts w:ascii="Calibri" w:hAnsi="Calibri" w:cs="Arial"/>
        </w:rPr>
        <w:t xml:space="preserve"> and keeps up to date with guidance related to the Decent Homes standard.</w:t>
      </w:r>
    </w:p>
    <w:p w14:paraId="2AA2BD77" w14:textId="77777777" w:rsidR="00A54DA5" w:rsidRDefault="00A54DA5" w:rsidP="00A54DA5">
      <w:pPr>
        <w:rPr>
          <w:rFonts w:ascii="Calibri" w:hAnsi="Calibri" w:cs="Arial"/>
        </w:rPr>
      </w:pPr>
    </w:p>
    <w:p w14:paraId="404B39B9" w14:textId="77777777" w:rsidR="00A54DA5" w:rsidRPr="005B34B1" w:rsidRDefault="00A54DA5" w:rsidP="00A54DA5">
      <w:pPr>
        <w:pStyle w:val="ListParagraph"/>
        <w:numPr>
          <w:ilvl w:val="0"/>
          <w:numId w:val="32"/>
        </w:numPr>
        <w:rPr>
          <w:rFonts w:asciiTheme="minorHAnsi" w:hAnsiTheme="minorHAnsi" w:cstheme="minorHAnsi"/>
          <w:bCs/>
        </w:rPr>
      </w:pPr>
      <w:r w:rsidRPr="005B34B1">
        <w:rPr>
          <w:rFonts w:asciiTheme="minorHAnsi" w:hAnsiTheme="minorHAnsi" w:cstheme="minorHAnsi"/>
          <w:bCs/>
        </w:rPr>
        <w:t>Works with the Strategic Technical and Compliance manager to ensure that all relevant staff understand their obligations regarding the compliance process and are acting accordingly.  Commission and/or deliver training as required.</w:t>
      </w:r>
    </w:p>
    <w:p w14:paraId="20F25097" w14:textId="77777777" w:rsidR="00A54DA5" w:rsidRDefault="00A54DA5" w:rsidP="00A54DA5">
      <w:pPr>
        <w:rPr>
          <w:rFonts w:asciiTheme="minorHAnsi" w:hAnsiTheme="minorHAnsi" w:cstheme="minorHAnsi"/>
        </w:rPr>
      </w:pPr>
    </w:p>
    <w:p w14:paraId="0B0A774B" w14:textId="77777777" w:rsidR="00A54DA5" w:rsidRPr="005B34B1" w:rsidRDefault="00A54DA5" w:rsidP="00A54DA5">
      <w:pPr>
        <w:pStyle w:val="ListParagraph"/>
        <w:numPr>
          <w:ilvl w:val="0"/>
          <w:numId w:val="32"/>
        </w:numPr>
        <w:rPr>
          <w:rFonts w:asciiTheme="minorHAnsi" w:hAnsiTheme="minorHAnsi" w:cstheme="minorHAnsi"/>
        </w:rPr>
      </w:pPr>
      <w:r w:rsidRPr="005B34B1">
        <w:rPr>
          <w:rFonts w:ascii="Calibri" w:hAnsi="Calibri" w:cs="Arial"/>
        </w:rPr>
        <w:t xml:space="preserve">Maintains records consistent with the generation of Key Performance Indicators, providing reports when requested and contributing to data returns for the </w:t>
      </w:r>
      <w:r w:rsidRPr="005B34B1">
        <w:rPr>
          <w:rFonts w:asciiTheme="minorHAnsi" w:hAnsiTheme="minorHAnsi" w:cstheme="minorHAnsi"/>
        </w:rPr>
        <w:t xml:space="preserve">Ministry of Housing, Communities and Local Government. </w:t>
      </w:r>
    </w:p>
    <w:p w14:paraId="2B8F21D5" w14:textId="77777777" w:rsidR="00A54DA5" w:rsidRPr="00D43999" w:rsidRDefault="00A54DA5" w:rsidP="00A54DA5">
      <w:pPr>
        <w:rPr>
          <w:rFonts w:asciiTheme="minorHAnsi" w:hAnsiTheme="minorHAnsi" w:cstheme="minorHAnsi"/>
        </w:rPr>
      </w:pPr>
    </w:p>
    <w:p w14:paraId="2D11BAF4" w14:textId="77777777" w:rsidR="00A54DA5" w:rsidRDefault="00A54DA5" w:rsidP="00A54DA5">
      <w:pPr>
        <w:pStyle w:val="ListParagraph"/>
        <w:numPr>
          <w:ilvl w:val="0"/>
          <w:numId w:val="32"/>
        </w:numPr>
        <w:rPr>
          <w:rFonts w:asciiTheme="minorHAnsi" w:hAnsiTheme="minorHAnsi" w:cstheme="minorHAnsi"/>
          <w:bCs/>
        </w:rPr>
      </w:pPr>
      <w:r w:rsidRPr="005B34B1">
        <w:rPr>
          <w:rFonts w:asciiTheme="minorHAnsi" w:hAnsiTheme="minorHAnsi" w:cstheme="minorHAnsi"/>
          <w:bCs/>
        </w:rPr>
        <w:t xml:space="preserve">Identifies opportunities for innovation and continuous improvement.  To develop positive collaborative relationships which foster cross-pollination of ideas, sharing best practice and which engender a “right first time” ethos within the Strategic and Technical Compliance Team and wider service. </w:t>
      </w:r>
    </w:p>
    <w:p w14:paraId="1C3DDC90" w14:textId="77777777" w:rsidR="00A54DA5" w:rsidRPr="006216BC" w:rsidRDefault="00A54DA5" w:rsidP="00A54DA5">
      <w:pPr>
        <w:pStyle w:val="ListParagraph"/>
        <w:rPr>
          <w:rFonts w:asciiTheme="minorHAnsi" w:hAnsiTheme="minorHAnsi" w:cstheme="minorHAnsi"/>
          <w:bCs/>
        </w:rPr>
      </w:pPr>
    </w:p>
    <w:p w14:paraId="0C434374" w14:textId="77777777" w:rsidR="00A54DA5" w:rsidRPr="005B34B1" w:rsidRDefault="00A54DA5" w:rsidP="00A54DA5">
      <w:pPr>
        <w:pStyle w:val="ListParagraph"/>
        <w:numPr>
          <w:ilvl w:val="0"/>
          <w:numId w:val="32"/>
        </w:numPr>
        <w:rPr>
          <w:rFonts w:asciiTheme="minorHAnsi" w:hAnsiTheme="minorHAnsi" w:cstheme="minorHAnsi"/>
        </w:rPr>
      </w:pPr>
      <w:r w:rsidRPr="005B34B1">
        <w:rPr>
          <w:rFonts w:asciiTheme="minorHAnsi" w:hAnsiTheme="minorHAnsi" w:cstheme="minorHAnsi"/>
        </w:rPr>
        <w:t>As necessary, provide supervision to the Compliance Administrators and temporary/trainee posts.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45A1741" w14:textId="77777777" w:rsidR="00A54DA5" w:rsidRDefault="00A54DA5" w:rsidP="00A54DA5">
      <w:pPr>
        <w:pStyle w:val="ListParagraph"/>
        <w:numPr>
          <w:ilvl w:val="0"/>
          <w:numId w:val="33"/>
        </w:numPr>
        <w:rPr>
          <w:rFonts w:ascii="Calibri" w:hAnsi="Calibri" w:cs="Arial"/>
        </w:rPr>
      </w:pPr>
      <w:r w:rsidRPr="007E2096">
        <w:rPr>
          <w:rFonts w:ascii="Calibri" w:hAnsi="Calibri" w:cs="Arial"/>
        </w:rPr>
        <w:t>The post is managed by the Strategic Technical and Compliance Manager with the work programme and areas of responsibility agreed with this Manager and the Head of Housing Policy</w:t>
      </w:r>
      <w:r>
        <w:rPr>
          <w:rFonts w:ascii="Calibri" w:hAnsi="Calibri" w:cs="Arial"/>
        </w:rPr>
        <w:t>,</w:t>
      </w:r>
      <w:r w:rsidRPr="007E2096">
        <w:rPr>
          <w:rFonts w:ascii="Calibri" w:hAnsi="Calibri" w:cs="Arial"/>
        </w:rPr>
        <w:t xml:space="preserve"> Performance</w:t>
      </w:r>
      <w:r>
        <w:rPr>
          <w:rFonts w:ascii="Calibri" w:hAnsi="Calibri" w:cs="Arial"/>
        </w:rPr>
        <w:t xml:space="preserve"> and Compliance</w:t>
      </w:r>
      <w:r w:rsidRPr="007E2096">
        <w:rPr>
          <w:rFonts w:ascii="Calibri" w:hAnsi="Calibri" w:cs="Arial"/>
        </w:rPr>
        <w:t>. The post holder will be expected to have the knowledge, skills and experience to undertake work to an excellent standard and to use initiative to ensure the Department meets its compliance obligations.</w:t>
      </w:r>
    </w:p>
    <w:p w14:paraId="1F3AEFE8" w14:textId="77777777" w:rsidR="00A54DA5" w:rsidRDefault="00A54DA5" w:rsidP="00A54DA5">
      <w:pPr>
        <w:pStyle w:val="ListParagraph"/>
        <w:rPr>
          <w:rFonts w:ascii="Calibri" w:hAnsi="Calibri" w:cs="Arial"/>
        </w:rPr>
      </w:pPr>
    </w:p>
    <w:p w14:paraId="33126236" w14:textId="77777777" w:rsidR="00A54DA5" w:rsidRPr="00A1545F" w:rsidRDefault="00A54DA5" w:rsidP="00A54DA5">
      <w:pPr>
        <w:pStyle w:val="ListParagraph"/>
        <w:numPr>
          <w:ilvl w:val="0"/>
          <w:numId w:val="33"/>
        </w:numPr>
        <w:spacing w:after="120"/>
        <w:rPr>
          <w:rFonts w:asciiTheme="minorHAnsi" w:hAnsiTheme="minorHAnsi" w:cs="Arial"/>
          <w:bCs/>
        </w:rPr>
      </w:pPr>
      <w:r w:rsidRPr="00A1545F">
        <w:rPr>
          <w:rFonts w:asciiTheme="minorHAnsi" w:hAnsiTheme="minorHAnsi" w:cs="Arial"/>
          <w:bCs/>
        </w:rPr>
        <w:t>The role may involve lone working when visiting buildings that are unoccupied.  The role requires a reactive and pragmatic approach which may result in the need for working at height, working in confined spaces, or manual handling.</w:t>
      </w: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982EC37" w:rsidR="00343CED" w:rsidRPr="005B3EBF" w:rsidRDefault="00A54DA5" w:rsidP="00A54DA5">
      <w:pPr>
        <w:autoSpaceDE w:val="0"/>
        <w:autoSpaceDN w:val="0"/>
        <w:adjustRightInd w:val="0"/>
        <w:jc w:val="center"/>
        <w:rPr>
          <w:rFonts w:ascii="Calibri" w:hAnsi="Calibri" w:cs="Arial"/>
          <w:b/>
          <w:bCs/>
          <w:color w:val="000000"/>
        </w:rPr>
      </w:pPr>
      <w:r>
        <w:object w:dxaOrig="3301" w:dyaOrig="4711" w14:anchorId="2231B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35.5pt" o:ole="">
            <v:imagedata r:id="rId11" o:title=""/>
          </v:shape>
          <o:OLEObject Type="Embed" ProgID="Visio.Drawing.15" ShapeID="_x0000_i1025" DrawAspect="Content" ObjectID="_1642578429" r:id="rId12"/>
        </w:object>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5A2140FB" w14:textId="77777777" w:rsidTr="00397448">
        <w:trPr>
          <w:trHeight w:val="544"/>
        </w:trPr>
        <w:tc>
          <w:tcPr>
            <w:tcW w:w="4261" w:type="dxa"/>
            <w:shd w:val="clear" w:color="auto" w:fill="D9D9D9"/>
          </w:tcPr>
          <w:p w14:paraId="2BDCE133" w14:textId="19F9203B"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A54DA5">
              <w:rPr>
                <w:rFonts w:ascii="Calibri" w:hAnsi="Calibri" w:cs="Calibri"/>
              </w:rPr>
              <w:t>Compliance Officer</w:t>
            </w:r>
          </w:p>
        </w:tc>
        <w:tc>
          <w:tcPr>
            <w:tcW w:w="4494" w:type="dxa"/>
            <w:shd w:val="clear" w:color="auto" w:fill="D9D9D9"/>
          </w:tcPr>
          <w:p w14:paraId="53B822F0" w14:textId="388E87D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A54DA5">
              <w:rPr>
                <w:rFonts w:ascii="Calibri" w:hAnsi="Calibri" w:cs="Calibri"/>
                <w:bCs/>
              </w:rPr>
              <w:t>PO4</w:t>
            </w:r>
          </w:p>
        </w:tc>
      </w:tr>
      <w:tr w:rsidR="00B53894" w:rsidRPr="005B3EBF" w14:paraId="138D5627" w14:textId="77777777" w:rsidTr="0049147F">
        <w:trPr>
          <w:trHeight w:val="493"/>
        </w:trPr>
        <w:tc>
          <w:tcPr>
            <w:tcW w:w="4261" w:type="dxa"/>
            <w:shd w:val="clear" w:color="auto" w:fill="D9D9D9"/>
          </w:tcPr>
          <w:p w14:paraId="48C6B752" w14:textId="4671119C"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A54DA5" w:rsidRPr="00A54DA5">
              <w:rPr>
                <w:rFonts w:ascii="Calibri" w:hAnsi="Calibri" w:cs="Calibri"/>
              </w:rPr>
              <w:t>Strategy and Development</w:t>
            </w:r>
          </w:p>
        </w:tc>
        <w:tc>
          <w:tcPr>
            <w:tcW w:w="4494" w:type="dxa"/>
            <w:shd w:val="clear" w:color="auto" w:fill="D9D9D9"/>
          </w:tcPr>
          <w:p w14:paraId="0A73B256" w14:textId="6D183026"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A54DA5" w:rsidRPr="004E1FC2">
              <w:rPr>
                <w:rFonts w:ascii="Calibri" w:hAnsi="Calibri" w:cs="Calibri"/>
                <w:bCs/>
              </w:rPr>
              <w:t>Housing &amp; Regeneration</w:t>
            </w:r>
          </w:p>
        </w:tc>
      </w:tr>
      <w:tr w:rsidR="00B53894" w:rsidRPr="005B3EBF" w14:paraId="3968D930" w14:textId="77777777" w:rsidTr="0049147F">
        <w:trPr>
          <w:trHeight w:val="543"/>
        </w:trPr>
        <w:tc>
          <w:tcPr>
            <w:tcW w:w="4261" w:type="dxa"/>
            <w:shd w:val="clear" w:color="auto" w:fill="D9D9D9"/>
          </w:tcPr>
          <w:p w14:paraId="302EBF88" w14:textId="29EF7E5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A54DA5">
              <w:rPr>
                <w:rFonts w:ascii="Calibri" w:hAnsi="Calibri" w:cs="Calibri"/>
                <w:b/>
                <w:bCs/>
              </w:rPr>
              <w:t xml:space="preserve"> </w:t>
            </w:r>
            <w:r w:rsidR="00A54DA5">
              <w:rPr>
                <w:rFonts w:ascii="Calibri" w:hAnsi="Calibri" w:cs="Arial"/>
              </w:rPr>
              <w:t>Strategic Technical and Compliance Manager</w:t>
            </w:r>
          </w:p>
        </w:tc>
        <w:tc>
          <w:tcPr>
            <w:tcW w:w="4494" w:type="dxa"/>
            <w:shd w:val="clear" w:color="auto" w:fill="D9D9D9"/>
          </w:tcPr>
          <w:p w14:paraId="0C768213" w14:textId="3963B92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A54DA5">
              <w:rPr>
                <w:rFonts w:ascii="Calibri" w:hAnsi="Calibri" w:cs="Calibri"/>
                <w:b/>
                <w:bCs/>
              </w:rPr>
              <w:t xml:space="preserve"> </w:t>
            </w:r>
            <w:r w:rsidR="00A54DA5" w:rsidRPr="00B34486">
              <w:rPr>
                <w:rFonts w:ascii="Calibri" w:hAnsi="Calibri" w:cs="Calibri"/>
                <w:bCs/>
              </w:rPr>
              <w:t>As directed temporary staff/trainees</w:t>
            </w:r>
          </w:p>
        </w:tc>
      </w:tr>
      <w:tr w:rsidR="00B53894" w:rsidRPr="005B3EBF" w14:paraId="19FA8664" w14:textId="77777777" w:rsidTr="00397448">
        <w:trPr>
          <w:trHeight w:val="477"/>
        </w:trPr>
        <w:tc>
          <w:tcPr>
            <w:tcW w:w="4261" w:type="dxa"/>
            <w:shd w:val="clear" w:color="auto" w:fill="D9D9D9"/>
          </w:tcPr>
          <w:p w14:paraId="0660C874" w14:textId="30069D1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A54DA5">
              <w:rPr>
                <w:rFonts w:ascii="Calibri" w:hAnsi="Calibri" w:cs="Calibri"/>
                <w:b/>
                <w:bCs/>
              </w:rPr>
              <w:t xml:space="preserve"> </w:t>
            </w:r>
          </w:p>
        </w:tc>
        <w:tc>
          <w:tcPr>
            <w:tcW w:w="4494" w:type="dxa"/>
            <w:shd w:val="clear" w:color="auto" w:fill="D9D9D9"/>
          </w:tcPr>
          <w:p w14:paraId="49F6BE97" w14:textId="44AB0B75" w:rsidR="00B53894" w:rsidRPr="00A54DA5" w:rsidRDefault="00B3662C" w:rsidP="00802B8D">
            <w:pPr>
              <w:autoSpaceDE w:val="0"/>
              <w:autoSpaceDN w:val="0"/>
              <w:adjustRightInd w:val="0"/>
              <w:contextualSpacing/>
              <w:rPr>
                <w:rFonts w:ascii="Calibri" w:hAnsi="Calibri" w:cs="Calibri"/>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A54DA5">
              <w:rPr>
                <w:rFonts w:ascii="Calibri" w:hAnsi="Calibri" w:cs="Calibri"/>
              </w:rPr>
              <w:t>January 2020</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1534483D" w:rsidR="00343CED" w:rsidRPr="005B3EBF" w:rsidRDefault="00343CED" w:rsidP="00407E7C">
            <w:pPr>
              <w:jc w:val="center"/>
              <w:rPr>
                <w:rFonts w:ascii="Calibri" w:hAnsi="Calibri" w:cs="Arial"/>
              </w:rPr>
            </w:pPr>
            <w:r w:rsidRPr="005B3EBF">
              <w:rPr>
                <w:rFonts w:ascii="Calibri" w:hAnsi="Calibri" w:cs="Arial"/>
                <w:b/>
                <w:bCs/>
              </w:rPr>
              <w:t xml:space="preserve"> </w:t>
            </w:r>
            <w:r w:rsidR="00A54DA5" w:rsidRPr="005B3EBF">
              <w:rPr>
                <w:rFonts w:ascii="Calibri" w:hAnsi="Calibri" w:cs="Arial"/>
                <w:b/>
                <w:bCs/>
              </w:rPr>
              <w:t xml:space="preserve">&amp; </w:t>
            </w:r>
            <w:r w:rsidR="00A54DA5">
              <w:rPr>
                <w:rFonts w:ascii="Calibri" w:hAnsi="Calibri" w:cs="Arial"/>
              </w:rPr>
              <w:t>I</w:t>
            </w:r>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A54DA5"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6B455798" w:rsidR="00A54DA5" w:rsidRPr="005B3EBF" w:rsidRDefault="00A54DA5" w:rsidP="00A54DA5">
            <w:pPr>
              <w:rPr>
                <w:rFonts w:ascii="Calibri" w:hAnsi="Calibri" w:cs="Arial"/>
              </w:rPr>
            </w:pPr>
            <w:r w:rsidRPr="00CD5031">
              <w:rPr>
                <w:rFonts w:ascii="Calibri" w:hAnsi="Calibri" w:cs="Arial"/>
              </w:rPr>
              <w:t>Working knowledge and understanding of Social Housing</w:t>
            </w:r>
          </w:p>
        </w:tc>
        <w:tc>
          <w:tcPr>
            <w:tcW w:w="1460" w:type="dxa"/>
            <w:tcBorders>
              <w:bottom w:val="single" w:sz="8" w:space="0" w:color="000000"/>
              <w:right w:val="single" w:sz="8" w:space="0" w:color="000000"/>
            </w:tcBorders>
            <w:shd w:val="clear" w:color="auto" w:fill="FFFFFF"/>
          </w:tcPr>
          <w:p w14:paraId="772F800A" w14:textId="5E3E4AAB"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6C3640E" w:rsidR="00A54DA5" w:rsidRPr="005B3EBF" w:rsidRDefault="00A54DA5" w:rsidP="00A54DA5">
            <w:pPr>
              <w:rPr>
                <w:rFonts w:ascii="Calibri" w:hAnsi="Calibri" w:cs="Arial"/>
              </w:rPr>
            </w:pPr>
            <w:r>
              <w:rPr>
                <w:rFonts w:ascii="Calibri" w:hAnsi="Calibri" w:cs="Arial"/>
              </w:rPr>
              <w:t>K</w:t>
            </w:r>
            <w:r w:rsidRPr="00055D76">
              <w:rPr>
                <w:rFonts w:ascii="Calibri" w:hAnsi="Calibri" w:cs="Arial"/>
              </w:rPr>
              <w:t>nowledge of Building Construction</w:t>
            </w:r>
          </w:p>
        </w:tc>
        <w:tc>
          <w:tcPr>
            <w:tcW w:w="1460" w:type="dxa"/>
            <w:tcBorders>
              <w:bottom w:val="single" w:sz="8" w:space="0" w:color="000000"/>
              <w:right w:val="single" w:sz="8" w:space="0" w:color="000000"/>
            </w:tcBorders>
            <w:shd w:val="clear" w:color="auto" w:fill="FFFFFF"/>
          </w:tcPr>
          <w:p w14:paraId="4B9E8360" w14:textId="60E23012" w:rsidR="00A54DA5" w:rsidRPr="005B3EBF" w:rsidRDefault="00A54DA5" w:rsidP="00A54DA5">
            <w:pPr>
              <w:spacing w:line="70" w:lineRule="atLeast"/>
              <w:jc w:val="center"/>
              <w:rPr>
                <w:rFonts w:ascii="Calibri" w:hAnsi="Calibri" w:cs="Arial"/>
              </w:rPr>
            </w:pPr>
            <w:r>
              <w:rPr>
                <w:rFonts w:ascii="Calibri" w:hAnsi="Calibri" w:cs="Arial"/>
              </w:rPr>
              <w:t>A, T &amp; I</w:t>
            </w:r>
          </w:p>
        </w:tc>
      </w:tr>
      <w:tr w:rsidR="00A54DA5"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05B0B36" w:rsidR="00A54DA5" w:rsidRPr="005B3EBF" w:rsidRDefault="00A54DA5" w:rsidP="00A54DA5">
            <w:pPr>
              <w:rPr>
                <w:rFonts w:ascii="Calibri" w:hAnsi="Calibri" w:cs="Arial"/>
              </w:rPr>
            </w:pPr>
            <w:r>
              <w:rPr>
                <w:rFonts w:ascii="Calibri" w:hAnsi="Calibri" w:cs="Arial"/>
              </w:rPr>
              <w:t>K</w:t>
            </w:r>
            <w:r w:rsidRPr="00055D76">
              <w:rPr>
                <w:rFonts w:ascii="Calibri" w:hAnsi="Calibri" w:cs="Arial"/>
              </w:rPr>
              <w:t>nowledge</w:t>
            </w:r>
            <w:r>
              <w:rPr>
                <w:rFonts w:ascii="Calibri" w:hAnsi="Calibri" w:cs="Arial"/>
              </w:rPr>
              <w:t xml:space="preserve"> of building related H&amp;S issues and legislation and Codes of Practices related to the same</w:t>
            </w:r>
          </w:p>
        </w:tc>
        <w:tc>
          <w:tcPr>
            <w:tcW w:w="1460" w:type="dxa"/>
            <w:tcBorders>
              <w:bottom w:val="single" w:sz="8" w:space="0" w:color="000000"/>
              <w:right w:val="single" w:sz="8" w:space="0" w:color="000000"/>
            </w:tcBorders>
            <w:shd w:val="clear" w:color="auto" w:fill="FFFFFF"/>
          </w:tcPr>
          <w:p w14:paraId="083ED5BD" w14:textId="1FCA0D4E" w:rsidR="00A54DA5" w:rsidRPr="005B3EBF" w:rsidRDefault="00A54DA5" w:rsidP="00A54DA5">
            <w:pPr>
              <w:spacing w:line="70" w:lineRule="atLeast"/>
              <w:jc w:val="center"/>
              <w:rPr>
                <w:rFonts w:ascii="Calibri" w:hAnsi="Calibri" w:cs="Arial"/>
                <w:b/>
                <w:bCs/>
              </w:rPr>
            </w:pPr>
            <w:r>
              <w:rPr>
                <w:rFonts w:ascii="Calibri" w:hAnsi="Calibri" w:cs="Arial"/>
              </w:rPr>
              <w:t>A &amp; I</w:t>
            </w:r>
          </w:p>
        </w:tc>
      </w:tr>
      <w:tr w:rsidR="00A54DA5" w:rsidRPr="005B3EBF" w14:paraId="7AE2FE30"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29FE75F" w14:textId="256D3863" w:rsidR="00A54DA5" w:rsidRPr="005B3EBF" w:rsidRDefault="00A54DA5" w:rsidP="00A54DA5">
            <w:pPr>
              <w:rPr>
                <w:rFonts w:ascii="Calibri" w:hAnsi="Calibri" w:cs="Arial"/>
              </w:rPr>
            </w:pPr>
            <w:r>
              <w:rPr>
                <w:rFonts w:ascii="Calibri" w:hAnsi="Calibri" w:cs="Arial"/>
              </w:rPr>
              <w:t>Awareness of the m</w:t>
            </w:r>
            <w:r w:rsidRPr="00D455C1">
              <w:rPr>
                <w:rFonts w:ascii="Calibri" w:hAnsi="Calibri" w:cs="Arial"/>
              </w:rPr>
              <w:t>anag</w:t>
            </w:r>
            <w:r>
              <w:rPr>
                <w:rFonts w:ascii="Calibri" w:hAnsi="Calibri" w:cs="Arial"/>
              </w:rPr>
              <w:t>ement</w:t>
            </w:r>
            <w:r w:rsidRPr="00D455C1">
              <w:rPr>
                <w:rFonts w:ascii="Calibri" w:hAnsi="Calibri" w:cs="Arial"/>
              </w:rPr>
              <w:t xml:space="preserve"> and procurement of risk assessments and implementation of actions identified</w:t>
            </w:r>
          </w:p>
        </w:tc>
        <w:tc>
          <w:tcPr>
            <w:tcW w:w="1460" w:type="dxa"/>
            <w:tcBorders>
              <w:bottom w:val="single" w:sz="8" w:space="0" w:color="000000"/>
              <w:right w:val="single" w:sz="8" w:space="0" w:color="000000"/>
            </w:tcBorders>
            <w:shd w:val="clear" w:color="auto" w:fill="FFFFFF"/>
          </w:tcPr>
          <w:p w14:paraId="1B7BE3E8" w14:textId="6A18F9A4" w:rsidR="00A54DA5" w:rsidRPr="005B3EBF" w:rsidRDefault="00A54DA5" w:rsidP="00A54DA5">
            <w:pPr>
              <w:spacing w:line="70" w:lineRule="atLeast"/>
              <w:jc w:val="center"/>
              <w:rPr>
                <w:rFonts w:ascii="Calibri" w:hAnsi="Calibri" w:cs="Arial"/>
                <w:b/>
                <w:bCs/>
              </w:rPr>
            </w:pPr>
            <w:r>
              <w:rPr>
                <w:rFonts w:ascii="Calibri" w:hAnsi="Calibri" w:cs="Arial"/>
              </w:rPr>
              <w:t>A</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A54DA5"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037C6D3C" w:rsidR="00A54DA5" w:rsidRPr="005B3EBF" w:rsidRDefault="00A54DA5" w:rsidP="00A54DA5">
            <w:pPr>
              <w:rPr>
                <w:rFonts w:ascii="Calibri" w:hAnsi="Calibri" w:cs="Arial"/>
                <w:color w:val="000000"/>
              </w:rPr>
            </w:pPr>
            <w:r>
              <w:rPr>
                <w:rFonts w:ascii="Calibri" w:hAnsi="Calibri" w:cs="Arial"/>
                <w:color w:val="000000"/>
              </w:rPr>
              <w:t>Experience working in a role related to Health &amp; Safety legislation or;</w:t>
            </w:r>
          </w:p>
        </w:tc>
        <w:tc>
          <w:tcPr>
            <w:tcW w:w="1460" w:type="dxa"/>
            <w:tcBorders>
              <w:bottom w:val="single" w:sz="8" w:space="0" w:color="000000"/>
              <w:right w:val="single" w:sz="8" w:space="0" w:color="000000"/>
            </w:tcBorders>
            <w:shd w:val="clear" w:color="auto" w:fill="FFFFFF"/>
          </w:tcPr>
          <w:p w14:paraId="613DB7BC" w14:textId="5777391D" w:rsidR="00A54DA5" w:rsidRPr="005B3EBF" w:rsidRDefault="00A54DA5" w:rsidP="00A54DA5">
            <w:pPr>
              <w:spacing w:line="70" w:lineRule="atLeast"/>
              <w:jc w:val="center"/>
              <w:rPr>
                <w:rFonts w:ascii="Calibri" w:hAnsi="Calibri" w:cs="Arial"/>
              </w:rPr>
            </w:pPr>
            <w:r>
              <w:rPr>
                <w:rFonts w:ascii="Calibri" w:hAnsi="Calibri" w:cs="Arial"/>
              </w:rPr>
              <w:t>A</w:t>
            </w:r>
          </w:p>
        </w:tc>
      </w:tr>
      <w:tr w:rsidR="00A54DA5"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13D6EEB8" w:rsidR="00A54DA5" w:rsidRPr="005B3EBF" w:rsidRDefault="00A54DA5" w:rsidP="00A54DA5">
            <w:pPr>
              <w:rPr>
                <w:rFonts w:ascii="Calibri" w:hAnsi="Calibri" w:cs="Arial"/>
                <w:color w:val="000000"/>
              </w:rPr>
            </w:pPr>
            <w:r>
              <w:rPr>
                <w:rFonts w:ascii="Calibri" w:hAnsi="Calibri" w:cs="Arial"/>
                <w:color w:val="000000"/>
              </w:rPr>
              <w:t>Experience of working within a compliance role and/or within Social Housing</w:t>
            </w:r>
          </w:p>
        </w:tc>
        <w:tc>
          <w:tcPr>
            <w:tcW w:w="1460" w:type="dxa"/>
            <w:tcBorders>
              <w:bottom w:val="single" w:sz="8" w:space="0" w:color="000000"/>
              <w:right w:val="single" w:sz="8" w:space="0" w:color="000000"/>
            </w:tcBorders>
            <w:shd w:val="clear" w:color="auto" w:fill="FFFFFF"/>
          </w:tcPr>
          <w:p w14:paraId="52CB67B9" w14:textId="3790D2E0" w:rsidR="00A54DA5" w:rsidRPr="005B3EBF" w:rsidRDefault="00A54DA5" w:rsidP="00A54DA5">
            <w:pPr>
              <w:spacing w:line="70" w:lineRule="atLeast"/>
              <w:jc w:val="center"/>
              <w:rPr>
                <w:rFonts w:ascii="Calibri" w:hAnsi="Calibri" w:cs="Arial"/>
              </w:rPr>
            </w:pPr>
            <w:r>
              <w:rPr>
                <w:rFonts w:ascii="Calibri" w:hAnsi="Calibri" w:cs="Arial"/>
              </w:rPr>
              <w:t>A</w:t>
            </w:r>
          </w:p>
        </w:tc>
      </w:tr>
      <w:tr w:rsidR="00A54DA5"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49F6A089" w:rsidR="00A54DA5" w:rsidRPr="005B3EBF" w:rsidRDefault="00A54DA5" w:rsidP="00A54DA5">
            <w:pPr>
              <w:rPr>
                <w:rFonts w:ascii="Calibri" w:hAnsi="Calibri" w:cs="Arial"/>
                <w:color w:val="000000"/>
              </w:rPr>
            </w:pPr>
            <w:r>
              <w:rPr>
                <w:rFonts w:ascii="Calibri" w:hAnsi="Calibri" w:cs="Arial"/>
                <w:color w:val="000000"/>
              </w:rPr>
              <w:lastRenderedPageBreak/>
              <w:t>Experience of successfully managing own workload in an environment where deadlines and priorities frequently change</w:t>
            </w:r>
          </w:p>
        </w:tc>
        <w:tc>
          <w:tcPr>
            <w:tcW w:w="1460" w:type="dxa"/>
            <w:tcBorders>
              <w:bottom w:val="single" w:sz="8" w:space="0" w:color="000000"/>
              <w:right w:val="single" w:sz="8" w:space="0" w:color="000000"/>
            </w:tcBorders>
            <w:shd w:val="clear" w:color="auto" w:fill="FFFFFF"/>
          </w:tcPr>
          <w:p w14:paraId="7309500A" w14:textId="15797459" w:rsidR="00A54DA5" w:rsidRPr="005B3EBF" w:rsidRDefault="00A54DA5" w:rsidP="00A54DA5">
            <w:pPr>
              <w:jc w:val="center"/>
              <w:rPr>
                <w:rFonts w:ascii="Calibri" w:hAnsi="Calibri" w:cs="Arial"/>
              </w:rPr>
            </w:pPr>
            <w:r>
              <w:rPr>
                <w:rFonts w:ascii="Calibri" w:hAnsi="Calibri" w:cs="Arial"/>
              </w:rPr>
              <w:t>A&amp;I</w:t>
            </w: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A54DA5"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7CD0A08" w:rsidR="00A54DA5" w:rsidRPr="005B3EBF" w:rsidRDefault="00A54DA5" w:rsidP="00A54DA5">
            <w:pPr>
              <w:rPr>
                <w:rFonts w:ascii="Calibri" w:hAnsi="Calibri" w:cs="Arial"/>
              </w:rPr>
            </w:pPr>
            <w:r>
              <w:rPr>
                <w:rFonts w:ascii="Calibri" w:hAnsi="Calibri" w:cs="Arial"/>
              </w:rPr>
              <w:t>High level of IT skills and packages to an advanced level as required for the role. This may include report writing (Word) and manipulating statistical data (Excel).</w:t>
            </w:r>
          </w:p>
        </w:tc>
        <w:tc>
          <w:tcPr>
            <w:tcW w:w="1460" w:type="dxa"/>
            <w:tcBorders>
              <w:bottom w:val="single" w:sz="8" w:space="0" w:color="000000"/>
              <w:right w:val="single" w:sz="8" w:space="0" w:color="000000"/>
            </w:tcBorders>
            <w:shd w:val="clear" w:color="auto" w:fill="FFFFFF"/>
          </w:tcPr>
          <w:p w14:paraId="4A7DB1BB" w14:textId="7006C78B" w:rsidR="00A54DA5" w:rsidRPr="005B3EBF" w:rsidRDefault="00A54DA5" w:rsidP="00A54DA5">
            <w:pPr>
              <w:spacing w:line="70" w:lineRule="atLeast"/>
              <w:jc w:val="center"/>
              <w:rPr>
                <w:rFonts w:ascii="Calibri" w:hAnsi="Calibri" w:cs="Arial"/>
              </w:rPr>
            </w:pPr>
            <w:r>
              <w:rPr>
                <w:rFonts w:ascii="Calibri" w:hAnsi="Calibri" w:cs="Arial"/>
              </w:rPr>
              <w:t>A &amp; T</w:t>
            </w:r>
          </w:p>
        </w:tc>
      </w:tr>
      <w:tr w:rsidR="00A54DA5"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F221C40" w:rsidR="00A54DA5" w:rsidRPr="005B3EBF" w:rsidRDefault="00A54DA5" w:rsidP="00A54DA5">
            <w:pPr>
              <w:rPr>
                <w:rFonts w:ascii="Calibri" w:hAnsi="Calibri" w:cs="Arial"/>
                <w:color w:val="000000"/>
              </w:rPr>
            </w:pPr>
            <w:r>
              <w:rPr>
                <w:rFonts w:ascii="Calibri" w:hAnsi="Calibri" w:cs="Arial"/>
              </w:rPr>
              <w:t>Ability to plan, prioritise and co-ordinate resources to deliver services, resolving operational issues using own initiative and seeking guidance when necessary</w:t>
            </w:r>
          </w:p>
        </w:tc>
        <w:tc>
          <w:tcPr>
            <w:tcW w:w="1460" w:type="dxa"/>
            <w:tcBorders>
              <w:bottom w:val="single" w:sz="8" w:space="0" w:color="000000"/>
              <w:right w:val="single" w:sz="8" w:space="0" w:color="000000"/>
            </w:tcBorders>
            <w:shd w:val="clear" w:color="auto" w:fill="FFFFFF"/>
          </w:tcPr>
          <w:p w14:paraId="7739FF62" w14:textId="6AA2ADB9"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DEF7050" w:rsidR="00A54DA5" w:rsidRPr="005B3EBF" w:rsidRDefault="00A54DA5" w:rsidP="00A54DA5">
            <w:pPr>
              <w:rPr>
                <w:rFonts w:ascii="Calibri" w:hAnsi="Calibri" w:cs="Arial"/>
                <w:color w:val="000000"/>
              </w:rPr>
            </w:pPr>
            <w:r>
              <w:rPr>
                <w:rFonts w:ascii="Calibri" w:hAnsi="Calibri" w:cs="Arial"/>
              </w:rPr>
              <w:t>An awareness of the principles and practice for administrating reactive and programmed property maintenance</w:t>
            </w:r>
          </w:p>
        </w:tc>
        <w:tc>
          <w:tcPr>
            <w:tcW w:w="1460" w:type="dxa"/>
            <w:tcBorders>
              <w:bottom w:val="single" w:sz="8" w:space="0" w:color="000000"/>
              <w:right w:val="single" w:sz="8" w:space="0" w:color="000000"/>
            </w:tcBorders>
            <w:shd w:val="clear" w:color="auto" w:fill="FFFFFF"/>
          </w:tcPr>
          <w:p w14:paraId="162032AE" w14:textId="65B4B2A8"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1F5B3FF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9F2FC3" w14:textId="6036D223" w:rsidR="00A54DA5" w:rsidRPr="005B3EBF" w:rsidRDefault="00A54DA5" w:rsidP="00A54DA5">
            <w:pPr>
              <w:rPr>
                <w:rFonts w:ascii="Calibri" w:hAnsi="Calibri" w:cs="Arial"/>
                <w:color w:val="000000"/>
              </w:rPr>
            </w:pPr>
            <w:r>
              <w:rPr>
                <w:rFonts w:ascii="Calibri" w:hAnsi="Calibri" w:cs="Arial"/>
                <w:color w:val="000000"/>
              </w:rPr>
              <w:t>Effective communication skills, both written and verbal, especially when dealing with colleagues, Senior Managers and Members.</w:t>
            </w:r>
          </w:p>
        </w:tc>
        <w:tc>
          <w:tcPr>
            <w:tcW w:w="1460" w:type="dxa"/>
            <w:tcBorders>
              <w:bottom w:val="single" w:sz="8" w:space="0" w:color="000000"/>
              <w:right w:val="single" w:sz="8" w:space="0" w:color="000000"/>
            </w:tcBorders>
            <w:shd w:val="clear" w:color="auto" w:fill="FFFFFF"/>
          </w:tcPr>
          <w:p w14:paraId="17F7FABF" w14:textId="32287344"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7DFDAC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BD5E81" w14:textId="54DAB66B" w:rsidR="00A54DA5" w:rsidRPr="005B3EBF" w:rsidRDefault="00A54DA5" w:rsidP="00A54DA5">
            <w:pPr>
              <w:rPr>
                <w:rFonts w:ascii="Calibri" w:hAnsi="Calibri" w:cs="Arial"/>
                <w:color w:val="000000"/>
              </w:rPr>
            </w:pPr>
            <w:r>
              <w:rPr>
                <w:rFonts w:ascii="Calibri" w:hAnsi="Calibri" w:cs="Arial"/>
                <w:color w:val="000000"/>
              </w:rPr>
              <w:t>Must have the ability to organise and prioritise own workload, to work under pressure to meet deadlines</w:t>
            </w:r>
          </w:p>
        </w:tc>
        <w:tc>
          <w:tcPr>
            <w:tcW w:w="1460" w:type="dxa"/>
            <w:tcBorders>
              <w:bottom w:val="single" w:sz="8" w:space="0" w:color="000000"/>
              <w:right w:val="single" w:sz="8" w:space="0" w:color="000000"/>
            </w:tcBorders>
            <w:shd w:val="clear" w:color="auto" w:fill="FFFFFF"/>
          </w:tcPr>
          <w:p w14:paraId="67DF5646" w14:textId="659501FB"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33D11A5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BCBF37" w14:textId="2079F598" w:rsidR="00A54DA5" w:rsidRPr="005B3EBF" w:rsidRDefault="00A54DA5" w:rsidP="00A54DA5">
            <w:pPr>
              <w:rPr>
                <w:rFonts w:ascii="Calibri" w:hAnsi="Calibri" w:cs="Arial"/>
                <w:color w:val="000000"/>
              </w:rPr>
            </w:pPr>
            <w:r w:rsidRPr="00EA08FE">
              <w:rPr>
                <w:rFonts w:ascii="Calibri" w:hAnsi="Calibri" w:cs="Arial"/>
              </w:rPr>
              <w:t>Ability to work both independently and as an effective team member, using initiative and adapting to changing priorities and deadlines in a calm, well-organised and methodical manner.</w:t>
            </w:r>
          </w:p>
        </w:tc>
        <w:tc>
          <w:tcPr>
            <w:tcW w:w="1460" w:type="dxa"/>
            <w:tcBorders>
              <w:bottom w:val="single" w:sz="8" w:space="0" w:color="000000"/>
              <w:right w:val="single" w:sz="8" w:space="0" w:color="000000"/>
            </w:tcBorders>
            <w:shd w:val="clear" w:color="auto" w:fill="FFFFFF"/>
          </w:tcPr>
          <w:p w14:paraId="1D006937" w14:textId="01CF81EB"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A54DA5" w:rsidRPr="005B3EBF" w14:paraId="5FA00B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FD20552" w14:textId="2AED36F4" w:rsidR="00A54DA5" w:rsidRPr="005B3EBF" w:rsidRDefault="00A54DA5" w:rsidP="00A54DA5">
            <w:pPr>
              <w:rPr>
                <w:rFonts w:ascii="Calibri" w:hAnsi="Calibri" w:cs="Arial"/>
                <w:color w:val="000000"/>
              </w:rPr>
            </w:pPr>
            <w:r>
              <w:rPr>
                <w:rFonts w:ascii="Calibri" w:hAnsi="Calibri" w:cs="Arial"/>
                <w:color w:val="000000"/>
              </w:rPr>
              <w:t xml:space="preserve">Ability to exercise effective judgement within constrained </w:t>
            </w:r>
            <w:r>
              <w:rPr>
                <w:rFonts w:ascii="Calibri" w:hAnsi="Calibri" w:cs="Arial"/>
                <w:color w:val="000000"/>
              </w:rPr>
              <w:t>timescales</w:t>
            </w:r>
            <w:r>
              <w:rPr>
                <w:rFonts w:ascii="Calibri" w:hAnsi="Calibri" w:cs="Arial"/>
                <w:color w:val="000000"/>
              </w:rPr>
              <w:t xml:space="preserve"> and resources, within a highly scrutinised and regulated environment.</w:t>
            </w:r>
          </w:p>
        </w:tc>
        <w:tc>
          <w:tcPr>
            <w:tcW w:w="1460" w:type="dxa"/>
            <w:tcBorders>
              <w:bottom w:val="single" w:sz="8" w:space="0" w:color="000000"/>
              <w:right w:val="single" w:sz="8" w:space="0" w:color="000000"/>
            </w:tcBorders>
            <w:shd w:val="clear" w:color="auto" w:fill="FFFFFF"/>
          </w:tcPr>
          <w:p w14:paraId="0722DDB5" w14:textId="74B16A8E" w:rsidR="00A54DA5" w:rsidRPr="005B3EBF" w:rsidRDefault="00A54DA5" w:rsidP="00A54DA5">
            <w:pPr>
              <w:spacing w:line="70" w:lineRule="atLeast"/>
              <w:jc w:val="center"/>
              <w:rPr>
                <w:rFonts w:ascii="Calibri" w:hAnsi="Calibri" w:cs="Arial"/>
              </w:rPr>
            </w:pPr>
            <w:r>
              <w:rPr>
                <w:rFonts w:ascii="Calibri" w:hAnsi="Calibri" w:cs="Arial"/>
              </w:rPr>
              <w:t>A &amp; 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A54DA5"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059ED650" w:rsidR="00A54DA5" w:rsidRPr="005B3EBF" w:rsidRDefault="00A54DA5" w:rsidP="00A54DA5">
            <w:pPr>
              <w:rPr>
                <w:rFonts w:ascii="Calibri" w:hAnsi="Calibri" w:cs="Arial"/>
              </w:rPr>
            </w:pPr>
            <w:r w:rsidRPr="00EA05EB">
              <w:rPr>
                <w:rFonts w:ascii="Calibri" w:hAnsi="Calibri" w:cs="Arial"/>
              </w:rPr>
              <w:t xml:space="preserve">Preferably educated to A level </w:t>
            </w:r>
            <w:r w:rsidRPr="00EA05EB">
              <w:rPr>
                <w:rFonts w:ascii="Calibri" w:hAnsi="Calibri" w:cs="Arial"/>
                <w:b/>
                <w:u w:val="single"/>
              </w:rPr>
              <w:t>or</w:t>
            </w:r>
            <w:r w:rsidRPr="00EA05EB">
              <w:rPr>
                <w:rFonts w:ascii="Calibri" w:hAnsi="Calibri" w:cs="Arial"/>
              </w:rPr>
              <w:t xml:space="preserve"> equivalent by experience to undertake the requirements of this post. </w:t>
            </w:r>
          </w:p>
        </w:tc>
        <w:tc>
          <w:tcPr>
            <w:tcW w:w="1460" w:type="dxa"/>
            <w:tcBorders>
              <w:bottom w:val="single" w:sz="8" w:space="0" w:color="000000"/>
              <w:right w:val="single" w:sz="8" w:space="0" w:color="000000"/>
            </w:tcBorders>
            <w:shd w:val="clear" w:color="auto" w:fill="FFFFFF"/>
          </w:tcPr>
          <w:p w14:paraId="3AC93E28" w14:textId="3990683F" w:rsidR="00A54DA5" w:rsidRPr="005B3EBF" w:rsidRDefault="00A54DA5" w:rsidP="00A54DA5">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bookmarkStart w:id="0" w:name="_GoBack"/>
      <w:bookmarkEnd w:id="0"/>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333D" w14:textId="77777777" w:rsidR="00CF52E9" w:rsidRDefault="00CF52E9" w:rsidP="003E5354">
      <w:r>
        <w:separator/>
      </w:r>
    </w:p>
  </w:endnote>
  <w:endnote w:type="continuationSeparator" w:id="0">
    <w:p w14:paraId="2BB9374F"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83D" w14:textId="77777777" w:rsidR="00A54DA5" w:rsidRDefault="00A5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BFA6" w14:textId="77777777" w:rsidR="00A54DA5" w:rsidRDefault="00A5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1657" w14:textId="77777777" w:rsidR="00CF52E9" w:rsidRDefault="00CF52E9" w:rsidP="003E5354">
      <w:r>
        <w:separator/>
      </w:r>
    </w:p>
  </w:footnote>
  <w:footnote w:type="continuationSeparator" w:id="0">
    <w:p w14:paraId="33D01D92"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166E" w14:textId="77777777" w:rsidR="00A54DA5" w:rsidRDefault="00A5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245C8B3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DA5">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903B" w14:textId="77777777" w:rsidR="00A54DA5" w:rsidRDefault="00A5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48365A"/>
    <w:multiLevelType w:val="hybridMultilevel"/>
    <w:tmpl w:val="9CE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85369C"/>
    <w:multiLevelType w:val="hybridMultilevel"/>
    <w:tmpl w:val="C9DA3494"/>
    <w:lvl w:ilvl="0" w:tplc="88F21F72">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3"/>
  </w:num>
  <w:num w:numId="3">
    <w:abstractNumId w:val="21"/>
  </w:num>
  <w:num w:numId="4">
    <w:abstractNumId w:val="17"/>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3"/>
  </w:num>
  <w:num w:numId="15">
    <w:abstractNumId w:val="8"/>
  </w:num>
  <w:num w:numId="16">
    <w:abstractNumId w:val="10"/>
  </w:num>
  <w:num w:numId="17">
    <w:abstractNumId w:val="5"/>
  </w:num>
  <w:num w:numId="18">
    <w:abstractNumId w:val="32"/>
  </w:num>
  <w:num w:numId="19">
    <w:abstractNumId w:val="19"/>
  </w:num>
  <w:num w:numId="20">
    <w:abstractNumId w:val="11"/>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54DA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BE3299"/>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FEC56D384454F86EBD29953890C76" ma:contentTypeVersion="12" ma:contentTypeDescription="Create a new document." ma:contentTypeScope="" ma:versionID="3f340c5e3a3d5e9a7c898a5db7e4d1e8">
  <xsd:schema xmlns:xsd="http://www.w3.org/2001/XMLSchema" xmlns:xs="http://www.w3.org/2001/XMLSchema" xmlns:p="http://schemas.microsoft.com/office/2006/metadata/properties" xmlns:ns3="01aaf40d-e0da-4635-9532-8b85942df479" xmlns:ns4="d81f707d-6404-4f9d-95a8-729c19e73e0b" targetNamespace="http://schemas.microsoft.com/office/2006/metadata/properties" ma:root="true" ma:fieldsID="f766675ad4fdda7537b4db86f6c383dd" ns3:_="" ns4:_="">
    <xsd:import namespace="01aaf40d-e0da-4635-9532-8b85942df479"/>
    <xsd:import namespace="d81f707d-6404-4f9d-95a8-729c19e7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af40d-e0da-4635-9532-8b85942df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f707d-6404-4f9d-95a8-729c19e73e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81f707d-6404-4f9d-95a8-729c19e73e0b"/>
    <ds:schemaRef ds:uri="http://schemas.microsoft.com/office/infopath/2007/PartnerControls"/>
    <ds:schemaRef ds:uri="http://purl.org/dc/terms/"/>
    <ds:schemaRef ds:uri="01aaf40d-e0da-4635-9532-8b85942df479"/>
    <ds:schemaRef ds:uri="http://www.w3.org/XML/1998/namespace"/>
    <ds:schemaRef ds:uri="http://purl.org/dc/dcmitype/"/>
  </ds:schemaRefs>
</ds:datastoreItem>
</file>

<file path=customXml/itemProps3.xml><?xml version="1.0" encoding="utf-8"?>
<ds:datastoreItem xmlns:ds="http://schemas.openxmlformats.org/officeDocument/2006/customXml" ds:itemID="{CA92ED2F-3015-4268-BE8B-467A1D8C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af40d-e0da-4635-9532-8b85942df479"/>
    <ds:schemaRef ds:uri="d81f707d-6404-4f9d-95a8-729c19e7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B4CB5-17FE-40D0-886B-8C41F35F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10537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Willman, Kay</cp:lastModifiedBy>
  <cp:revision>2</cp:revision>
  <cp:lastPrinted>2017-06-16T09:03:00Z</cp:lastPrinted>
  <dcterms:created xsi:type="dcterms:W3CDTF">2020-02-07T11:01:00Z</dcterms:created>
  <dcterms:modified xsi:type="dcterms:W3CDTF">2020-02-07T11:01:00Z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0x010100FE6FEC56D384454F86EBD29953890C76</vt:lpwstr>
  </property>
</Properties>
</file>