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2B2E513C"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D25E44" w:rsidRPr="00712DAF">
              <w:rPr>
                <w:rFonts w:asciiTheme="minorHAnsi" w:hAnsiTheme="minorHAnsi" w:cstheme="minorHAnsi"/>
                <w:b/>
                <w:bCs/>
              </w:rPr>
              <w:t>Casual Stop Smoking Advisor</w:t>
            </w:r>
            <w:r w:rsidR="00D25E44" w:rsidRPr="00712DAF">
              <w:rPr>
                <w:rFonts w:asciiTheme="minorHAnsi" w:hAnsiTheme="minorHAnsi" w:cstheme="minorHAnsi"/>
              </w:rPr>
              <w:t> </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4A4DBC3F"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D25E44">
              <w:rPr>
                <w:rFonts w:ascii="Calibri" w:hAnsi="Calibri" w:cs="Calibri"/>
                <w:bCs/>
              </w:rPr>
              <w:t xml:space="preserve">TBC </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324A99D6"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D25E44">
              <w:rPr>
                <w:rFonts w:ascii="Calibri" w:hAnsi="Calibri" w:cs="Calibri"/>
                <w:b/>
                <w:bCs/>
              </w:rPr>
              <w:t>Public Health – Stop Smoking Service</w:t>
            </w:r>
            <w:r w:rsidR="00D25E44">
              <w:rPr>
                <w:rFonts w:ascii="Calibri" w:hAnsi="Calibri" w:cs="Calibri"/>
              </w:rPr>
              <w:t> </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7B95BBF9" w14:textId="77777777" w:rsidR="00D25E44" w:rsidRPr="00AB0928" w:rsidRDefault="00783C6D" w:rsidP="00D25E44">
            <w:pPr>
              <w:autoSpaceDE w:val="0"/>
              <w:autoSpaceDN w:val="0"/>
              <w:adjustRightInd w:val="0"/>
              <w:rPr>
                <w:rFonts w:asciiTheme="minorHAnsi" w:hAnsiTheme="minorHAnsi" w:cstheme="minorHAns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D25E44" w:rsidRPr="00AB0928">
              <w:rPr>
                <w:rFonts w:asciiTheme="minorHAnsi" w:hAnsiTheme="minorHAnsi" w:cstheme="minorHAnsi"/>
                <w:b/>
                <w:bCs/>
              </w:rPr>
              <w:t>Adults Social Care &amp; Public Health</w:t>
            </w:r>
            <w:r w:rsidR="00D25E44" w:rsidRPr="00AB0928">
              <w:rPr>
                <w:rFonts w:asciiTheme="minorHAnsi" w:hAnsiTheme="minorHAnsi" w:cstheme="minorHAnsi"/>
              </w:rPr>
              <w:t> </w:t>
            </w:r>
          </w:p>
          <w:p w14:paraId="56B8C37C" w14:textId="3A5939AA" w:rsidR="00783C6D" w:rsidRPr="005B3EBF" w:rsidRDefault="00783C6D" w:rsidP="000E62C7">
            <w:pPr>
              <w:autoSpaceDE w:val="0"/>
              <w:autoSpaceDN w:val="0"/>
              <w:adjustRightInd w:val="0"/>
              <w:rPr>
                <w:rFonts w:ascii="Calibri" w:hAnsi="Calibri" w:cs="Calibri"/>
                <w:bCs/>
              </w:rPr>
            </w:pP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1B6C73C" w:rsidR="0044737D" w:rsidRPr="0026064E" w:rsidRDefault="00D25E44" w:rsidP="00C90AB7">
            <w:pPr>
              <w:autoSpaceDE w:val="0"/>
              <w:autoSpaceDN w:val="0"/>
              <w:adjustRightInd w:val="0"/>
              <w:rPr>
                <w:rFonts w:ascii="Calibri" w:hAnsi="Calibri" w:cs="Calibri"/>
                <w:bCs/>
              </w:rPr>
            </w:pPr>
            <w:r>
              <w:rPr>
                <w:rFonts w:ascii="Calibri" w:hAnsi="Calibri" w:cs="Calibri"/>
                <w:b/>
                <w:bCs/>
              </w:rPr>
              <w:t>Benjamin Humphrey</w:t>
            </w:r>
            <w:r>
              <w:rPr>
                <w:rFonts w:ascii="Calibri" w:hAnsi="Calibri" w:cs="Calibri"/>
              </w:rPr>
              <w:t> </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2AA8297D" w:rsidR="00387E78" w:rsidRPr="0026064E" w:rsidRDefault="00D25E44"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4EE5C913"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D25E44">
              <w:rPr>
                <w:rFonts w:ascii="Calibri" w:hAnsi="Calibri" w:cs="Calibri"/>
                <w:b/>
                <w:bCs/>
              </w:rPr>
              <w:t>11/09/2024</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329A8864" w14:textId="77777777" w:rsidR="00D25E44" w:rsidRPr="00D25E44" w:rsidRDefault="00D25E44" w:rsidP="00343CED">
      <w:pPr>
        <w:rPr>
          <w:rFonts w:asciiTheme="minorHAnsi" w:hAnsiTheme="minorHAnsi" w:cstheme="minorHAnsi"/>
          <w:b/>
          <w:bCs/>
        </w:rPr>
      </w:pPr>
    </w:p>
    <w:p w14:paraId="5ED932FE" w14:textId="4D8615E9" w:rsidR="00D25E44" w:rsidRPr="00D25E44" w:rsidRDefault="00D25E44" w:rsidP="00343CED">
      <w:pPr>
        <w:rPr>
          <w:rFonts w:asciiTheme="minorHAnsi" w:hAnsiTheme="minorHAnsi" w:cstheme="minorHAnsi"/>
        </w:rPr>
      </w:pPr>
      <w:r w:rsidRPr="00D25E44">
        <w:rPr>
          <w:rFonts w:asciiTheme="minorHAnsi" w:hAnsiTheme="minorHAnsi" w:cstheme="minorHAnsi"/>
        </w:rPr>
        <w:t xml:space="preserve">As a Casual Stop Smoking Advisor, you will deliver tailored, structured, evidence-based clinical support services to smokers who wish to quit or reduce harm through harm reduction strategies with the aim of quitting for good. You will work in compliance with the Local Stop Smoking Services and support guidance, the </w:t>
      </w:r>
      <w:hyperlink r:id="rId11" w:history="1">
        <w:r w:rsidRPr="00D25E44">
          <w:rPr>
            <w:rStyle w:val="Hyperlink"/>
            <w:rFonts w:asciiTheme="minorHAnsi" w:hAnsiTheme="minorHAnsi" w:cstheme="minorHAnsi"/>
          </w:rPr>
          <w:t>National Centre for Smoking Cessation and Training standards</w:t>
        </w:r>
      </w:hyperlink>
      <w:r w:rsidRPr="00D25E44">
        <w:rPr>
          <w:rFonts w:asciiTheme="minorHAnsi" w:hAnsiTheme="minorHAnsi" w:cstheme="minorHAnsi"/>
        </w:rPr>
        <w:t xml:space="preserve">, </w:t>
      </w:r>
      <w:hyperlink r:id="rId12" w:history="1">
        <w:r w:rsidRPr="00D25E44">
          <w:rPr>
            <w:rStyle w:val="Hyperlink"/>
            <w:rFonts w:asciiTheme="minorHAnsi" w:hAnsiTheme="minorHAnsi" w:cstheme="minorHAnsi"/>
          </w:rPr>
          <w:t xml:space="preserve">The National Institute for Health and Care Excellence </w:t>
        </w:r>
        <w:r w:rsidRPr="00D25E44">
          <w:rPr>
            <w:rStyle w:val="Hyperlink"/>
            <w:rFonts w:asciiTheme="minorHAnsi" w:hAnsiTheme="minorHAnsi" w:cstheme="minorHAnsi"/>
          </w:rPr>
          <w:lastRenderedPageBreak/>
          <w:t>(NICE) guideline (NG209)</w:t>
        </w:r>
      </w:hyperlink>
      <w:r w:rsidRPr="00D25E44">
        <w:rPr>
          <w:rFonts w:asciiTheme="minorHAnsi" w:hAnsiTheme="minorHAnsi" w:cstheme="minorHAnsi"/>
        </w:rPr>
        <w:t xml:space="preserve"> and maintain the highest standards of care and professionalism. Hours will vary based on service demand and your availability</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4E0CA1BD" w14:textId="77777777" w:rsidR="00D25E44" w:rsidRPr="00D25E44" w:rsidRDefault="00D25E44" w:rsidP="00343CED">
      <w:pPr>
        <w:rPr>
          <w:rFonts w:asciiTheme="minorHAnsi" w:hAnsiTheme="minorHAnsi" w:cstheme="minorHAnsi"/>
          <w:b/>
          <w:bCs/>
        </w:rPr>
      </w:pPr>
    </w:p>
    <w:p w14:paraId="2BBAB617" w14:textId="77777777" w:rsidR="00D25E44" w:rsidRPr="00D25E44" w:rsidRDefault="00D25E44" w:rsidP="00D25E44">
      <w:pPr>
        <w:rPr>
          <w:rFonts w:asciiTheme="minorHAnsi" w:hAnsiTheme="minorHAnsi" w:cstheme="minorHAnsi"/>
        </w:rPr>
      </w:pPr>
      <w:r w:rsidRPr="00D25E44">
        <w:rPr>
          <w:rFonts w:asciiTheme="minorHAnsi" w:hAnsiTheme="minorHAnsi" w:cstheme="minorHAnsi"/>
        </w:rPr>
        <w:t>- Deliver smoking cessation support in various settings, including 1-on-1 sessions, GP surgeries, group settings, telephone support,  National campaigns and mobile outreach clinics.</w:t>
      </w:r>
      <w:r w:rsidRPr="00D25E44">
        <w:rPr>
          <w:rFonts w:asciiTheme="minorHAnsi" w:hAnsiTheme="minorHAnsi" w:cstheme="minorHAnsi"/>
        </w:rPr>
        <w:br/>
        <w:t>- Recommend Nicotine Replacement Therapy (NRT) and give out vouchers to clients based on your professional judgment.</w:t>
      </w:r>
      <w:r w:rsidRPr="00D25E44">
        <w:rPr>
          <w:rFonts w:asciiTheme="minorHAnsi" w:hAnsiTheme="minorHAnsi" w:cstheme="minorHAnsi"/>
        </w:rPr>
        <w:br/>
        <w:t>- Work autonomously while maintaining accurate records and staying up-to-date with smoking cessation developments.</w:t>
      </w:r>
      <w:r w:rsidRPr="00D25E44">
        <w:rPr>
          <w:rFonts w:asciiTheme="minorHAnsi" w:hAnsiTheme="minorHAnsi" w:cstheme="minorHAnsi"/>
        </w:rPr>
        <w:br/>
        <w:t>- Actively participate in events such as No Smoking Day, Stoptober promotional stands etc. to encourage new clients to access our services.</w:t>
      </w:r>
      <w:r w:rsidRPr="00D25E44">
        <w:rPr>
          <w:rFonts w:asciiTheme="minorHAnsi" w:hAnsiTheme="minorHAnsi" w:cstheme="minorHAnsi"/>
        </w:rPr>
        <w:br/>
      </w:r>
      <w:r w:rsidRPr="00D25E44">
        <w:rPr>
          <w:rFonts w:asciiTheme="minorHAnsi" w:hAnsiTheme="minorHAnsi" w:cstheme="minorHAnsi"/>
        </w:rPr>
        <w:br/>
      </w:r>
      <w:r w:rsidRPr="00D25E44">
        <w:rPr>
          <w:rFonts w:asciiTheme="minorHAnsi" w:hAnsiTheme="minorHAnsi" w:cstheme="minorHAnsi"/>
          <w:b/>
          <w:bCs/>
        </w:rPr>
        <w:t>Service Operations and Performance:</w:t>
      </w:r>
      <w:r w:rsidRPr="00D25E44">
        <w:rPr>
          <w:rFonts w:asciiTheme="minorHAnsi" w:hAnsiTheme="minorHAnsi" w:cstheme="minorHAnsi"/>
        </w:rPr>
        <w:br/>
      </w:r>
      <w:r w:rsidRPr="00D25E44">
        <w:rPr>
          <w:rFonts w:asciiTheme="minorHAnsi" w:hAnsiTheme="minorHAnsi" w:cstheme="minorHAnsi"/>
          <w:b/>
          <w:bCs/>
        </w:rPr>
        <w:t xml:space="preserve">- </w:t>
      </w:r>
      <w:r w:rsidRPr="00D25E44">
        <w:rPr>
          <w:rFonts w:asciiTheme="minorHAnsi" w:hAnsiTheme="minorHAnsi" w:cstheme="minorHAnsi"/>
        </w:rPr>
        <w:t>Network and collaborate to raise awareness of the Richmond and Wandsworth Stop Smoking Services.</w:t>
      </w:r>
      <w:r w:rsidRPr="00D25E44">
        <w:rPr>
          <w:rFonts w:asciiTheme="minorHAnsi" w:hAnsiTheme="minorHAnsi" w:cstheme="minorHAnsi"/>
        </w:rPr>
        <w:br/>
        <w:t>- Maintain meticulous and secure records of client and group sessions.</w:t>
      </w:r>
      <w:r w:rsidRPr="00D25E44">
        <w:rPr>
          <w:rFonts w:asciiTheme="minorHAnsi" w:hAnsiTheme="minorHAnsi" w:cstheme="minorHAnsi"/>
        </w:rPr>
        <w:br/>
        <w:t>- Identify and secure suitable community venues for service delivery.</w:t>
      </w:r>
      <w:r w:rsidRPr="00D25E44">
        <w:rPr>
          <w:rFonts w:asciiTheme="minorHAnsi" w:hAnsiTheme="minorHAnsi" w:cstheme="minorHAnsi"/>
        </w:rPr>
        <w:br/>
        <w:t>- Contribute to the collection and distribution of performance data.</w:t>
      </w:r>
      <w:r w:rsidRPr="00D25E44">
        <w:rPr>
          <w:rFonts w:asciiTheme="minorHAnsi" w:hAnsiTheme="minorHAnsi" w:cstheme="minorHAnsi"/>
        </w:rPr>
        <w:br/>
        <w:t>- Assess the needs of the target population and propose service improvements.</w:t>
      </w:r>
      <w:r w:rsidRPr="00D25E44">
        <w:rPr>
          <w:rFonts w:asciiTheme="minorHAnsi" w:hAnsiTheme="minorHAnsi" w:cstheme="minorHAnsi"/>
        </w:rPr>
        <w:br/>
      </w:r>
      <w:r w:rsidRPr="00D25E44">
        <w:rPr>
          <w:rFonts w:asciiTheme="minorHAnsi" w:hAnsiTheme="minorHAnsi" w:cstheme="minorHAnsi"/>
        </w:rPr>
        <w:br/>
      </w:r>
      <w:r w:rsidRPr="00D25E44">
        <w:rPr>
          <w:rFonts w:asciiTheme="minorHAnsi" w:hAnsiTheme="minorHAnsi" w:cstheme="minorHAnsi"/>
          <w:b/>
          <w:bCs/>
        </w:rPr>
        <w:t>Service Quality and Performance:</w:t>
      </w:r>
      <w:r w:rsidRPr="00D25E44">
        <w:rPr>
          <w:rFonts w:asciiTheme="minorHAnsi" w:hAnsiTheme="minorHAnsi" w:cstheme="minorHAnsi"/>
        </w:rPr>
        <w:br/>
      </w:r>
      <w:r w:rsidRPr="00D25E44">
        <w:rPr>
          <w:rFonts w:asciiTheme="minorHAnsi" w:hAnsiTheme="minorHAnsi" w:cstheme="minorHAnsi"/>
          <w:b/>
          <w:bCs/>
        </w:rPr>
        <w:t xml:space="preserve">- </w:t>
      </w:r>
      <w:r w:rsidRPr="00D25E44">
        <w:rPr>
          <w:rFonts w:asciiTheme="minorHAnsi" w:hAnsiTheme="minorHAnsi" w:cstheme="minorHAnsi"/>
        </w:rPr>
        <w:t>Suggest areas for potential service enhancements.</w:t>
      </w:r>
      <w:r w:rsidRPr="00D25E44">
        <w:rPr>
          <w:rFonts w:asciiTheme="minorHAnsi" w:hAnsiTheme="minorHAnsi" w:cstheme="minorHAnsi"/>
        </w:rPr>
        <w:br/>
        <w:t>- Assist in developing action plans and work plans.</w:t>
      </w:r>
      <w:r w:rsidRPr="00D25E44">
        <w:rPr>
          <w:rFonts w:asciiTheme="minorHAnsi" w:hAnsiTheme="minorHAnsi" w:cstheme="minorHAnsi"/>
        </w:rPr>
        <w:br/>
        <w:t>- Collect and record data related to service outcomes.</w:t>
      </w:r>
      <w:r w:rsidRPr="00D25E44">
        <w:rPr>
          <w:rFonts w:asciiTheme="minorHAnsi" w:hAnsiTheme="minorHAnsi" w:cstheme="minorHAnsi"/>
        </w:rPr>
        <w:br/>
        <w:t>- Promote service improvement and quality initiatives.</w:t>
      </w:r>
      <w:r w:rsidRPr="00D25E44">
        <w:rPr>
          <w:rFonts w:asciiTheme="minorHAnsi" w:hAnsiTheme="minorHAnsi" w:cstheme="minorHAnsi"/>
        </w:rPr>
        <w:br/>
        <w:t>- Ensure equipment, such as CO monitors, are suitable for use.  Attend update and refresher training on an ad-hoc basis</w:t>
      </w:r>
      <w:r w:rsidRPr="00D25E44">
        <w:rPr>
          <w:rFonts w:asciiTheme="minorHAnsi" w:hAnsiTheme="minorHAnsi" w:cstheme="minorHAnsi"/>
        </w:rPr>
        <w:br/>
      </w:r>
      <w:r w:rsidRPr="00D25E44">
        <w:rPr>
          <w:rFonts w:asciiTheme="minorHAnsi" w:hAnsiTheme="minorHAnsi" w:cstheme="minorHAnsi"/>
        </w:rPr>
        <w:br/>
      </w:r>
      <w:r w:rsidRPr="00D25E44">
        <w:rPr>
          <w:rFonts w:asciiTheme="minorHAnsi" w:hAnsiTheme="minorHAnsi" w:cstheme="minorHAnsi"/>
          <w:b/>
          <w:bCs/>
        </w:rPr>
        <w:t>Personal Responsibilities:</w:t>
      </w:r>
      <w:r w:rsidRPr="00D25E44">
        <w:rPr>
          <w:rFonts w:asciiTheme="minorHAnsi" w:hAnsiTheme="minorHAnsi" w:cstheme="minorHAnsi"/>
        </w:rPr>
        <w:br/>
        <w:t>- Foster effective communication within the Richmond and Wandsworth Stop Smoking Services and Health Improvement Service.</w:t>
      </w:r>
      <w:r w:rsidRPr="00D25E44">
        <w:rPr>
          <w:rFonts w:asciiTheme="minorHAnsi" w:hAnsiTheme="minorHAnsi" w:cstheme="minorHAnsi"/>
        </w:rPr>
        <w:br/>
        <w:t>- Engage in annual performance reviews and regular check-ins with your line manager.</w:t>
      </w:r>
      <w:r w:rsidRPr="00D25E44">
        <w:rPr>
          <w:rFonts w:asciiTheme="minorHAnsi" w:hAnsiTheme="minorHAnsi" w:cstheme="minorHAnsi"/>
        </w:rPr>
        <w:br/>
        <w:t>- Contribute to the implementation of new programmes.</w:t>
      </w:r>
      <w:r w:rsidRPr="00D25E44">
        <w:rPr>
          <w:rFonts w:asciiTheme="minorHAnsi" w:hAnsiTheme="minorHAnsi" w:cstheme="minorHAnsi"/>
        </w:rPr>
        <w:br/>
        <w:t>-Address issues by consulting with knowledgeable sources and evaluating different alternatives to achieve the best possible outcomes.</w:t>
      </w:r>
    </w:p>
    <w:p w14:paraId="34E85344" w14:textId="77777777" w:rsidR="00D25E44" w:rsidRPr="00D25E44" w:rsidRDefault="00D25E44" w:rsidP="00D25E44">
      <w:pPr>
        <w:rPr>
          <w:rFonts w:asciiTheme="minorHAnsi" w:hAnsiTheme="minorHAnsi" w:cstheme="minorHAnsi"/>
          <w:b/>
          <w:bCs/>
        </w:rPr>
      </w:pPr>
      <w:r w:rsidRPr="00D25E44">
        <w:rPr>
          <w:rFonts w:asciiTheme="minorHAnsi" w:hAnsiTheme="minorHAnsi" w:cstheme="minorHAnsi"/>
        </w:rPr>
        <w:t>-report any issue of concern to your line manager immediately.</w:t>
      </w:r>
      <w:r w:rsidRPr="00D25E44">
        <w:rPr>
          <w:rFonts w:asciiTheme="minorHAnsi" w:hAnsiTheme="minorHAnsi" w:cstheme="minorHAnsi"/>
        </w:rPr>
        <w:br/>
      </w:r>
    </w:p>
    <w:p w14:paraId="5280A159" w14:textId="77777777" w:rsidR="00D25E44" w:rsidRPr="005B3EBF" w:rsidRDefault="00D25E44" w:rsidP="00343CED">
      <w:pPr>
        <w:rPr>
          <w:rFonts w:ascii="Calibri" w:hAnsi="Calibri" w:cs="Arial"/>
        </w:rPr>
      </w:pP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77777777"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When advertising externally please add the current team structure here</w:t>
      </w:r>
      <w:r w:rsidR="002857D1">
        <w:rPr>
          <w:rFonts w:ascii="Calibri" w:hAnsi="Calibri" w:cs="Arial"/>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D25E44" w:rsidRDefault="00B3662C" w:rsidP="00915B47">
      <w:pPr>
        <w:shd w:val="clear" w:color="auto" w:fill="FFFFFF"/>
        <w:rPr>
          <w:rFonts w:asciiTheme="minorHAnsi" w:hAnsiTheme="minorHAnsi" w:cstheme="minorHAnsi"/>
          <w:b/>
          <w:bCs/>
          <w:color w:val="000000"/>
          <w:sz w:val="36"/>
          <w:szCs w:val="3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4379"/>
      </w:tblGrid>
      <w:tr w:rsidR="00D25E44" w:rsidRPr="00D25E44" w14:paraId="08112BC6" w14:textId="77777777" w:rsidTr="002F5A67">
        <w:trPr>
          <w:trHeight w:val="540"/>
        </w:trPr>
        <w:tc>
          <w:tcPr>
            <w:tcW w:w="4155" w:type="dxa"/>
            <w:tcBorders>
              <w:top w:val="single" w:sz="6" w:space="0" w:color="auto"/>
              <w:left w:val="single" w:sz="6" w:space="0" w:color="auto"/>
              <w:bottom w:val="single" w:sz="6" w:space="0" w:color="auto"/>
              <w:right w:val="single" w:sz="6" w:space="0" w:color="auto"/>
            </w:tcBorders>
            <w:shd w:val="clear" w:color="auto" w:fill="D9D9D9"/>
            <w:hideMark/>
          </w:tcPr>
          <w:p w14:paraId="7718E9B4"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 Job Title: </w:t>
            </w:r>
            <w:r w:rsidRPr="00D25E44">
              <w:rPr>
                <w:rFonts w:asciiTheme="minorHAnsi" w:hAnsiTheme="minorHAnsi" w:cstheme="minorHAnsi"/>
              </w:rPr>
              <w:t> </w:t>
            </w:r>
          </w:p>
          <w:p w14:paraId="11CA8BDD"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rPr>
              <w:t>Casual Stop Smoking Advisor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22645F4D"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Grade</w:t>
            </w:r>
            <w:r w:rsidRPr="00D25E44">
              <w:rPr>
                <w:rFonts w:asciiTheme="minorHAnsi" w:hAnsiTheme="minorHAnsi" w:cstheme="minorHAnsi"/>
              </w:rPr>
              <w:t>:  </w:t>
            </w:r>
          </w:p>
          <w:p w14:paraId="7FA8C16B"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rPr>
              <w:t> </w:t>
            </w:r>
          </w:p>
        </w:tc>
      </w:tr>
      <w:tr w:rsidR="00D25E44" w:rsidRPr="00D25E44" w14:paraId="2B924975" w14:textId="77777777" w:rsidTr="002F5A67">
        <w:trPr>
          <w:trHeight w:val="480"/>
        </w:trPr>
        <w:tc>
          <w:tcPr>
            <w:tcW w:w="4155" w:type="dxa"/>
            <w:tcBorders>
              <w:top w:val="single" w:sz="6" w:space="0" w:color="auto"/>
              <w:left w:val="single" w:sz="6" w:space="0" w:color="auto"/>
              <w:bottom w:val="single" w:sz="6" w:space="0" w:color="auto"/>
              <w:right w:val="single" w:sz="6" w:space="0" w:color="auto"/>
            </w:tcBorders>
            <w:shd w:val="clear" w:color="auto" w:fill="D9D9D9"/>
            <w:hideMark/>
          </w:tcPr>
          <w:p w14:paraId="15C8EED3"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Section: </w:t>
            </w:r>
            <w:r w:rsidRPr="00D25E44">
              <w:rPr>
                <w:rFonts w:asciiTheme="minorHAnsi" w:hAnsiTheme="minorHAnsi" w:cstheme="minorHAnsi"/>
              </w:rPr>
              <w:t> </w:t>
            </w:r>
          </w:p>
          <w:p w14:paraId="587EC85A"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rPr>
              <w:t>Public Health – Stop Smoking Service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12D90B46"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Directorate:</w:t>
            </w:r>
            <w:r w:rsidRPr="00D25E44">
              <w:rPr>
                <w:rFonts w:asciiTheme="minorHAnsi" w:hAnsiTheme="minorHAnsi" w:cstheme="minorHAnsi"/>
              </w:rPr>
              <w:t xml:space="preserve"> Directorate of Adults Social Care &amp; Public Health </w:t>
            </w:r>
          </w:p>
        </w:tc>
      </w:tr>
      <w:tr w:rsidR="00D25E44" w:rsidRPr="00D25E44" w14:paraId="76C7CDE1" w14:textId="77777777" w:rsidTr="002F5A67">
        <w:trPr>
          <w:trHeight w:val="540"/>
        </w:trPr>
        <w:tc>
          <w:tcPr>
            <w:tcW w:w="4155" w:type="dxa"/>
            <w:tcBorders>
              <w:top w:val="single" w:sz="6" w:space="0" w:color="auto"/>
              <w:left w:val="single" w:sz="6" w:space="0" w:color="auto"/>
              <w:bottom w:val="single" w:sz="6" w:space="0" w:color="auto"/>
              <w:right w:val="single" w:sz="6" w:space="0" w:color="auto"/>
            </w:tcBorders>
            <w:shd w:val="clear" w:color="auto" w:fill="D9D9D9"/>
            <w:hideMark/>
          </w:tcPr>
          <w:p w14:paraId="2618DCDB"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Responsible to:</w:t>
            </w:r>
            <w:r w:rsidRPr="00D25E44">
              <w:rPr>
                <w:rFonts w:asciiTheme="minorHAnsi" w:hAnsiTheme="minorHAnsi" w:cstheme="minorHAnsi"/>
              </w:rPr>
              <w:t> </w:t>
            </w:r>
          </w:p>
          <w:p w14:paraId="22DD7EC0"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rPr>
              <w:t>Benjamin Humphrey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26544047"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Responsible for:</w:t>
            </w:r>
            <w:r w:rsidRPr="00D25E44">
              <w:rPr>
                <w:rFonts w:asciiTheme="minorHAnsi" w:hAnsiTheme="minorHAnsi" w:cstheme="minorHAnsi"/>
              </w:rPr>
              <w:t> </w:t>
            </w:r>
          </w:p>
          <w:p w14:paraId="0932A3EF"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N/A</w:t>
            </w:r>
            <w:r w:rsidRPr="00D25E44">
              <w:rPr>
                <w:rFonts w:asciiTheme="minorHAnsi" w:hAnsiTheme="minorHAnsi" w:cstheme="minorHAnsi"/>
              </w:rPr>
              <w:t> </w:t>
            </w:r>
          </w:p>
        </w:tc>
      </w:tr>
      <w:tr w:rsidR="00D25E44" w:rsidRPr="00D25E44" w14:paraId="60D27E21" w14:textId="77777777" w:rsidTr="002F5A67">
        <w:trPr>
          <w:trHeight w:val="465"/>
        </w:trPr>
        <w:tc>
          <w:tcPr>
            <w:tcW w:w="4155" w:type="dxa"/>
            <w:tcBorders>
              <w:top w:val="single" w:sz="6" w:space="0" w:color="auto"/>
              <w:left w:val="single" w:sz="6" w:space="0" w:color="auto"/>
              <w:bottom w:val="single" w:sz="6" w:space="0" w:color="auto"/>
              <w:right w:val="single" w:sz="6" w:space="0" w:color="auto"/>
            </w:tcBorders>
            <w:shd w:val="clear" w:color="auto" w:fill="D9D9D9"/>
            <w:hideMark/>
          </w:tcPr>
          <w:p w14:paraId="6A322A92"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Post Number/s:</w:t>
            </w:r>
            <w:r w:rsidRPr="00D25E44">
              <w:rPr>
                <w:rFonts w:asciiTheme="minorHAnsi" w:hAnsiTheme="minorHAnsi" w:cstheme="minorHAnsi"/>
              </w:rPr>
              <w:t> </w:t>
            </w:r>
          </w:p>
        </w:tc>
        <w:tc>
          <w:tcPr>
            <w:tcW w:w="4380" w:type="dxa"/>
            <w:tcBorders>
              <w:top w:val="single" w:sz="6" w:space="0" w:color="auto"/>
              <w:left w:val="single" w:sz="6" w:space="0" w:color="auto"/>
              <w:bottom w:val="single" w:sz="6" w:space="0" w:color="auto"/>
              <w:right w:val="single" w:sz="6" w:space="0" w:color="auto"/>
            </w:tcBorders>
            <w:shd w:val="clear" w:color="auto" w:fill="D9D9D9"/>
            <w:hideMark/>
          </w:tcPr>
          <w:p w14:paraId="21980A5E" w14:textId="77777777" w:rsidR="00D25E44" w:rsidRPr="00D25E44" w:rsidRDefault="00D25E44" w:rsidP="002F5A67">
            <w:pPr>
              <w:textAlignment w:val="baseline"/>
              <w:rPr>
                <w:rFonts w:asciiTheme="minorHAnsi" w:hAnsiTheme="minorHAnsi" w:cstheme="minorHAnsi"/>
              </w:rPr>
            </w:pPr>
            <w:r w:rsidRPr="00D25E44">
              <w:rPr>
                <w:rFonts w:asciiTheme="minorHAnsi" w:hAnsiTheme="minorHAnsi" w:cstheme="minorHAnsi"/>
                <w:b/>
                <w:bCs/>
              </w:rPr>
              <w:t>Last Review Date: </w:t>
            </w:r>
            <w:r w:rsidRPr="00D25E44">
              <w:rPr>
                <w:rFonts w:asciiTheme="minorHAnsi" w:hAnsiTheme="minorHAnsi" w:cstheme="minorHAnsi"/>
              </w:rPr>
              <w:t> </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3">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15F0F14" w14:textId="77777777" w:rsidR="00D25E44" w:rsidRDefault="00D25E44" w:rsidP="4277F816">
      <w:pPr>
        <w:rPr>
          <w:rFonts w:ascii="Calibri" w:hAnsi="Calibri" w:cs="Arial"/>
        </w:rPr>
      </w:pPr>
    </w:p>
    <w:tbl>
      <w:tblPr>
        <w:tblW w:w="9115" w:type="dxa"/>
        <w:tblInd w:w="-10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
        <w:gridCol w:w="5147"/>
        <w:gridCol w:w="1110"/>
        <w:gridCol w:w="1101"/>
        <w:gridCol w:w="1721"/>
      </w:tblGrid>
      <w:tr w:rsidR="00D25E44" w:rsidRPr="00791CFC" w14:paraId="4D74DA74" w14:textId="77777777" w:rsidTr="002F5A67">
        <w:trPr>
          <w:trHeight w:val="540"/>
        </w:trPr>
        <w:tc>
          <w:tcPr>
            <w:tcW w:w="7394"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1FCCF9B6" w14:textId="77777777" w:rsidR="00D25E44" w:rsidRPr="00791CFC" w:rsidRDefault="00D25E44" w:rsidP="002F5A67">
            <w:pPr>
              <w:textAlignment w:val="baseline"/>
              <w:rPr>
                <w:rFonts w:ascii="Calibri" w:hAnsi="Calibri" w:cs="Calibri"/>
              </w:rPr>
            </w:pPr>
            <w:r w:rsidRPr="00791CFC">
              <w:rPr>
                <w:rFonts w:ascii="Calibri" w:hAnsi="Calibri" w:cs="Calibri"/>
                <w:b/>
                <w:bCs/>
              </w:rPr>
              <w:t>Person Specification Requirements</w:t>
            </w:r>
            <w:r w:rsidRPr="00791CFC">
              <w:rPr>
                <w:rFonts w:ascii="Calibri" w:hAnsi="Calibri" w:cs="Calibri"/>
              </w:rPr>
              <w:t> </w:t>
            </w:r>
          </w:p>
          <w:p w14:paraId="15948719" w14:textId="77777777" w:rsidR="00D25E44" w:rsidRPr="00791CFC" w:rsidRDefault="00D25E44" w:rsidP="002F5A67">
            <w:pPr>
              <w:textAlignment w:val="baseline"/>
              <w:rPr>
                <w:rFonts w:ascii="Calibri" w:hAnsi="Calibri" w:cs="Calibri"/>
              </w:rPr>
            </w:pPr>
            <w:r w:rsidRPr="00791CFC">
              <w:rPr>
                <w:rFonts w:ascii="Calibri" w:hAnsi="Calibri" w:cs="Calibri"/>
              </w:rPr>
              <w:t> </w:t>
            </w:r>
          </w:p>
        </w:tc>
        <w:tc>
          <w:tcPr>
            <w:tcW w:w="1721" w:type="dxa"/>
            <w:tcBorders>
              <w:top w:val="single" w:sz="6" w:space="0" w:color="000000"/>
              <w:left w:val="nil"/>
              <w:bottom w:val="single" w:sz="6" w:space="0" w:color="000000"/>
              <w:right w:val="single" w:sz="6" w:space="0" w:color="000000"/>
            </w:tcBorders>
            <w:shd w:val="clear" w:color="auto" w:fill="D9D9D9"/>
            <w:hideMark/>
          </w:tcPr>
          <w:p w14:paraId="7E0F8499"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Assessed by </w:t>
            </w:r>
            <w:r w:rsidRPr="00791CFC">
              <w:rPr>
                <w:rFonts w:ascii="Calibri" w:hAnsi="Calibri" w:cs="Calibri"/>
              </w:rPr>
              <w:t> </w:t>
            </w:r>
          </w:p>
          <w:p w14:paraId="345EDC77"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A/I/T/C </w:t>
            </w:r>
            <w:r w:rsidRPr="00791CFC">
              <w:rPr>
                <w:rFonts w:ascii="Calibri" w:hAnsi="Calibri" w:cs="Calibri"/>
              </w:rPr>
              <w:t> </w:t>
            </w:r>
          </w:p>
          <w:p w14:paraId="363C96E0"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(see below for explanation)</w:t>
            </w:r>
            <w:r w:rsidRPr="00791CFC">
              <w:rPr>
                <w:rFonts w:ascii="Calibri" w:hAnsi="Calibri" w:cs="Calibri"/>
              </w:rPr>
              <w:t> </w:t>
            </w:r>
          </w:p>
        </w:tc>
      </w:tr>
      <w:tr w:rsidR="00D25E44" w:rsidRPr="00791CFC" w14:paraId="005B5FEF"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16ED6E22"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D9D9D9"/>
            <w:hideMark/>
          </w:tcPr>
          <w:p w14:paraId="2DA6C799" w14:textId="77777777" w:rsidR="00D25E44" w:rsidRPr="00791CFC" w:rsidRDefault="00D25E44" w:rsidP="002F5A67">
            <w:pPr>
              <w:textAlignment w:val="baseline"/>
              <w:rPr>
                <w:rFonts w:ascii="Calibri" w:hAnsi="Calibri" w:cs="Calibri"/>
              </w:rPr>
            </w:pPr>
            <w:r w:rsidRPr="00791CFC">
              <w:rPr>
                <w:rFonts w:ascii="Calibri" w:hAnsi="Calibri" w:cs="Calibri"/>
                <w:b/>
                <w:bCs/>
              </w:rPr>
              <w:t>Knowledge</w:t>
            </w: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D9D9D9"/>
            <w:hideMark/>
          </w:tcPr>
          <w:p w14:paraId="724409BA" w14:textId="77777777" w:rsidR="00D25E44" w:rsidRPr="00791CFC" w:rsidRDefault="00D25E44" w:rsidP="002F5A67">
            <w:pPr>
              <w:textAlignment w:val="baseline"/>
              <w:rPr>
                <w:rFonts w:ascii="Calibri" w:hAnsi="Calibri" w:cs="Calibri"/>
              </w:rPr>
            </w:pPr>
            <w:r w:rsidRPr="00791CFC">
              <w:rPr>
                <w:rFonts w:ascii="Calibri" w:hAnsi="Calibri" w:cs="Calibri"/>
                <w:b/>
                <w:bCs/>
              </w:rPr>
              <w:t>Essential</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D9D9D9"/>
            <w:hideMark/>
          </w:tcPr>
          <w:p w14:paraId="373619E9" w14:textId="77777777" w:rsidR="00D25E44" w:rsidRPr="00791CFC" w:rsidRDefault="00D25E44" w:rsidP="002F5A67">
            <w:pPr>
              <w:textAlignment w:val="baseline"/>
              <w:rPr>
                <w:rFonts w:ascii="Calibri" w:hAnsi="Calibri" w:cs="Calibri"/>
              </w:rPr>
            </w:pPr>
            <w:r w:rsidRPr="00791CFC">
              <w:rPr>
                <w:rFonts w:ascii="Calibri" w:hAnsi="Calibri" w:cs="Calibri"/>
                <w:b/>
                <w:bCs/>
              </w:rPr>
              <w:t>Desirable</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D9D9D9"/>
            <w:hideMark/>
          </w:tcPr>
          <w:p w14:paraId="318CC481" w14:textId="77777777" w:rsidR="00D25E44" w:rsidRPr="00791CFC" w:rsidRDefault="00D25E44" w:rsidP="002F5A67">
            <w:pPr>
              <w:textAlignment w:val="baseline"/>
              <w:rPr>
                <w:rFonts w:ascii="Calibri" w:hAnsi="Calibri" w:cs="Calibri"/>
              </w:rPr>
            </w:pPr>
            <w:r w:rsidRPr="00791CFC">
              <w:rPr>
                <w:rFonts w:ascii="Calibri" w:hAnsi="Calibri" w:cs="Calibri"/>
                <w:b/>
                <w:bCs/>
              </w:rPr>
              <w:t>Assessed</w:t>
            </w:r>
            <w:r w:rsidRPr="00791CFC">
              <w:rPr>
                <w:rFonts w:ascii="Calibri" w:hAnsi="Calibri" w:cs="Calibri"/>
              </w:rPr>
              <w:t> </w:t>
            </w:r>
          </w:p>
        </w:tc>
      </w:tr>
      <w:tr w:rsidR="00D25E44" w:rsidRPr="00791CFC" w14:paraId="26A4AF25"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4C7C09D9"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FFFFFF"/>
            <w:hideMark/>
          </w:tcPr>
          <w:p w14:paraId="4D92A240" w14:textId="77777777" w:rsidR="00D25E44" w:rsidRPr="00791CFC" w:rsidRDefault="00D25E44" w:rsidP="002F5A67">
            <w:pPr>
              <w:textAlignment w:val="baseline"/>
              <w:rPr>
                <w:rFonts w:ascii="Calibri" w:hAnsi="Calibri" w:cs="Calibri"/>
              </w:rPr>
            </w:pPr>
            <w:r w:rsidRPr="00791CFC">
              <w:rPr>
                <w:rFonts w:ascii="Calibri" w:hAnsi="Calibri" w:cs="Calibri"/>
              </w:rPr>
              <w:t>Knowledge of Nicotine Replacement Therapies (NRT):</w:t>
            </w:r>
            <w:r w:rsidRPr="00791CFC">
              <w:rPr>
                <w:rFonts w:ascii="Calibri" w:hAnsi="Calibri" w:cs="Calibri"/>
                <w:b/>
                <w:bCs/>
              </w:rPr>
              <w:t xml:space="preserve"> </w:t>
            </w:r>
            <w:r w:rsidRPr="00791CFC">
              <w:rPr>
                <w:rFonts w:ascii="Calibri" w:hAnsi="Calibri" w:cs="Calibri"/>
              </w:rPr>
              <w:t>Familiarity with various NRT options, such as patches, gums, and lozenges, and the ability to guide individuals on their appropriate use. </w:t>
            </w:r>
          </w:p>
        </w:tc>
        <w:tc>
          <w:tcPr>
            <w:tcW w:w="1110" w:type="dxa"/>
            <w:tcBorders>
              <w:top w:val="nil"/>
              <w:left w:val="single" w:sz="6" w:space="0" w:color="000000"/>
              <w:bottom w:val="single" w:sz="6" w:space="0" w:color="000000"/>
              <w:right w:val="single" w:sz="6" w:space="0" w:color="000000"/>
            </w:tcBorders>
            <w:shd w:val="clear" w:color="auto" w:fill="FFFFFF"/>
            <w:hideMark/>
          </w:tcPr>
          <w:p w14:paraId="0D674001" w14:textId="77777777" w:rsidR="00D25E44" w:rsidRPr="00791CFC" w:rsidRDefault="00D25E44" w:rsidP="002F5A67">
            <w:pPr>
              <w:textAlignment w:val="baseline"/>
              <w:rPr>
                <w:rFonts w:ascii="Calibri" w:hAnsi="Calibri" w:cs="Calibri"/>
              </w:rPr>
            </w:pPr>
            <w:r w:rsidRPr="00791CFC">
              <w:rPr>
                <w:rFonts w:ascii="Calibri" w:hAnsi="Calibri" w:cs="Calibri"/>
              </w:rPr>
              <w:t> </w:t>
            </w:r>
          </w:p>
          <w:p w14:paraId="4D0F162B"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FFFFFF"/>
            <w:hideMark/>
          </w:tcPr>
          <w:p w14:paraId="56D2451D" w14:textId="77777777" w:rsidR="00D25E44" w:rsidRPr="00791CFC" w:rsidRDefault="00D25E44" w:rsidP="002F5A67">
            <w:pPr>
              <w:textAlignment w:val="baseline"/>
              <w:rPr>
                <w:rFonts w:ascii="Calibri" w:hAnsi="Calibri" w:cs="Calibri"/>
              </w:rPr>
            </w:pP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FFFFFF"/>
            <w:hideMark/>
          </w:tcPr>
          <w:p w14:paraId="5BB24D0A"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62425ADD" w14:textId="77777777" w:rsidR="00D25E44" w:rsidRPr="00791CFC" w:rsidRDefault="00D25E44" w:rsidP="002F5A67">
            <w:pPr>
              <w:textAlignment w:val="baseline"/>
              <w:rPr>
                <w:rFonts w:ascii="Calibri" w:hAnsi="Calibri" w:cs="Calibri"/>
              </w:rPr>
            </w:pPr>
            <w:r w:rsidRPr="00791CFC">
              <w:rPr>
                <w:rFonts w:ascii="Calibri" w:hAnsi="Calibri" w:cs="Calibri"/>
                <w:b/>
                <w:bCs/>
              </w:rPr>
              <w:t>       A/C</w:t>
            </w:r>
            <w:r w:rsidRPr="00791CFC">
              <w:rPr>
                <w:rFonts w:ascii="Calibri" w:hAnsi="Calibri" w:cs="Calibri"/>
              </w:rPr>
              <w:t> </w:t>
            </w:r>
          </w:p>
        </w:tc>
      </w:tr>
      <w:tr w:rsidR="00D25E44" w:rsidRPr="00791CFC" w14:paraId="7EDB50E4"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16DFF6A3"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FFFFFF"/>
            <w:hideMark/>
          </w:tcPr>
          <w:p w14:paraId="290576AD" w14:textId="77777777" w:rsidR="00D25E44" w:rsidRPr="00791CFC" w:rsidRDefault="00D25E44" w:rsidP="002F5A67">
            <w:pPr>
              <w:textAlignment w:val="baseline"/>
              <w:rPr>
                <w:rFonts w:ascii="Calibri" w:hAnsi="Calibri" w:cs="Calibri"/>
              </w:rPr>
            </w:pPr>
            <w:r w:rsidRPr="00791CFC">
              <w:rPr>
                <w:rFonts w:ascii="Calibri" w:hAnsi="Calibri" w:cs="Calibri"/>
              </w:rPr>
              <w:t>Understanding of Prescription Medications: Knowledge of prescription medications used for smoking cessation, including their benefits, side effects, and suitability for different individuals. </w:t>
            </w:r>
          </w:p>
        </w:tc>
        <w:tc>
          <w:tcPr>
            <w:tcW w:w="1110" w:type="dxa"/>
            <w:tcBorders>
              <w:top w:val="nil"/>
              <w:left w:val="single" w:sz="6" w:space="0" w:color="000000"/>
              <w:bottom w:val="single" w:sz="6" w:space="0" w:color="000000"/>
              <w:right w:val="single" w:sz="6" w:space="0" w:color="000000"/>
            </w:tcBorders>
            <w:shd w:val="clear" w:color="auto" w:fill="FFFFFF"/>
            <w:hideMark/>
          </w:tcPr>
          <w:p w14:paraId="51A68BCF"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7D4E708B"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FFFFFF"/>
            <w:hideMark/>
          </w:tcPr>
          <w:p w14:paraId="4540775C" w14:textId="77777777" w:rsidR="00D25E44" w:rsidRPr="00791CFC" w:rsidRDefault="00D25E44" w:rsidP="002F5A67">
            <w:pPr>
              <w:textAlignment w:val="baseline"/>
              <w:rPr>
                <w:rFonts w:ascii="Calibri" w:hAnsi="Calibri" w:cs="Calibri"/>
              </w:rPr>
            </w:pP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FFFFFF"/>
            <w:hideMark/>
          </w:tcPr>
          <w:p w14:paraId="552FEFCB"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2B0F23C0" w14:textId="77777777" w:rsidR="00D25E44" w:rsidRPr="00791CFC" w:rsidRDefault="00D25E44" w:rsidP="002F5A67">
            <w:pPr>
              <w:textAlignment w:val="baseline"/>
              <w:rPr>
                <w:rFonts w:ascii="Calibri" w:hAnsi="Calibri" w:cs="Calibri"/>
              </w:rPr>
            </w:pPr>
            <w:r w:rsidRPr="00791CFC">
              <w:rPr>
                <w:rFonts w:ascii="Calibri" w:hAnsi="Calibri" w:cs="Calibri"/>
                <w:b/>
                <w:bCs/>
              </w:rPr>
              <w:t>      A/I/C</w:t>
            </w:r>
            <w:r w:rsidRPr="00791CFC">
              <w:rPr>
                <w:rFonts w:ascii="Calibri" w:hAnsi="Calibri" w:cs="Calibri"/>
              </w:rPr>
              <w:t> </w:t>
            </w:r>
          </w:p>
        </w:tc>
      </w:tr>
      <w:tr w:rsidR="00D25E44" w:rsidRPr="00791CFC" w14:paraId="1924CFFE"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3EBB3A5B"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D9D9D9"/>
            <w:hideMark/>
          </w:tcPr>
          <w:p w14:paraId="2FBA94E5" w14:textId="77777777" w:rsidR="00D25E44" w:rsidRPr="00791CFC" w:rsidRDefault="00D25E44" w:rsidP="002F5A67">
            <w:pPr>
              <w:textAlignment w:val="baseline"/>
              <w:rPr>
                <w:rFonts w:ascii="Calibri" w:hAnsi="Calibri" w:cs="Calibri"/>
              </w:rPr>
            </w:pPr>
            <w:r w:rsidRPr="00791CFC">
              <w:rPr>
                <w:rFonts w:ascii="Calibri" w:hAnsi="Calibri" w:cs="Calibri"/>
                <w:b/>
                <w:bCs/>
              </w:rPr>
              <w:t>Experience</w:t>
            </w: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D9D9D9"/>
            <w:hideMark/>
          </w:tcPr>
          <w:p w14:paraId="23EED4E2" w14:textId="77777777" w:rsidR="00D25E44" w:rsidRPr="00791CFC" w:rsidRDefault="00D25E44" w:rsidP="002F5A67">
            <w:pPr>
              <w:textAlignment w:val="baseline"/>
              <w:rPr>
                <w:rFonts w:ascii="Calibri" w:hAnsi="Calibri" w:cs="Calibri"/>
              </w:rPr>
            </w:pPr>
            <w:r w:rsidRPr="00791CFC">
              <w:rPr>
                <w:rFonts w:ascii="Calibri" w:hAnsi="Calibri" w:cs="Calibri"/>
                <w:b/>
                <w:bCs/>
              </w:rPr>
              <w:t>Essential</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D9D9D9"/>
            <w:hideMark/>
          </w:tcPr>
          <w:p w14:paraId="1C69A4B7" w14:textId="77777777" w:rsidR="00D25E44" w:rsidRPr="00791CFC" w:rsidRDefault="00D25E44" w:rsidP="002F5A67">
            <w:pPr>
              <w:textAlignment w:val="baseline"/>
              <w:rPr>
                <w:rFonts w:ascii="Calibri" w:hAnsi="Calibri" w:cs="Calibri"/>
              </w:rPr>
            </w:pPr>
            <w:r w:rsidRPr="00791CFC">
              <w:rPr>
                <w:rFonts w:ascii="Calibri" w:hAnsi="Calibri" w:cs="Calibri"/>
                <w:b/>
                <w:bCs/>
              </w:rPr>
              <w:t>Desirable</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D9D9D9"/>
            <w:hideMark/>
          </w:tcPr>
          <w:p w14:paraId="1BE0C651" w14:textId="77777777" w:rsidR="00D25E44" w:rsidRPr="00791CFC" w:rsidRDefault="00D25E44" w:rsidP="002F5A67">
            <w:pPr>
              <w:textAlignment w:val="baseline"/>
              <w:rPr>
                <w:rFonts w:ascii="Calibri" w:hAnsi="Calibri" w:cs="Calibri"/>
              </w:rPr>
            </w:pPr>
            <w:r w:rsidRPr="00791CFC">
              <w:rPr>
                <w:rFonts w:ascii="Calibri" w:hAnsi="Calibri" w:cs="Calibri"/>
                <w:b/>
                <w:bCs/>
              </w:rPr>
              <w:t>Assessed</w:t>
            </w:r>
            <w:r w:rsidRPr="00791CFC">
              <w:rPr>
                <w:rFonts w:ascii="Calibri" w:hAnsi="Calibri" w:cs="Calibri"/>
              </w:rPr>
              <w:t> </w:t>
            </w:r>
          </w:p>
        </w:tc>
      </w:tr>
      <w:tr w:rsidR="00D25E44" w:rsidRPr="00791CFC" w14:paraId="5804C66E"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344C1073"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FFFFFF"/>
            <w:hideMark/>
          </w:tcPr>
          <w:p w14:paraId="651FE910" w14:textId="77777777" w:rsidR="00D25E44" w:rsidRPr="00791CFC" w:rsidRDefault="00D25E44" w:rsidP="002F5A67">
            <w:pPr>
              <w:textAlignment w:val="baseline"/>
              <w:rPr>
                <w:rFonts w:ascii="Calibri" w:hAnsi="Calibri" w:cs="Calibri"/>
              </w:rPr>
            </w:pPr>
            <w:r w:rsidRPr="00791CFC">
              <w:rPr>
                <w:rFonts w:ascii="Calibri" w:hAnsi="Calibri" w:cs="Calibri"/>
                <w:b/>
                <w:bCs/>
              </w:rPr>
              <w:t>Healthcare Background</w:t>
            </w:r>
            <w:r w:rsidRPr="00791CFC">
              <w:rPr>
                <w:rFonts w:ascii="Calibri" w:hAnsi="Calibri" w:cs="Calibri"/>
              </w:rPr>
              <w:t xml:space="preserve">: Should have a record of accomplishment of supporting smokers to quit successfully. A background in healthcare, can </w:t>
            </w:r>
            <w:r w:rsidRPr="00791CFC">
              <w:rPr>
                <w:rFonts w:ascii="Calibri" w:hAnsi="Calibri" w:cs="Calibri"/>
              </w:rPr>
              <w:lastRenderedPageBreak/>
              <w:t>provide a solid foundation for understanding the pharmacological and psychological aspects of smoking cessation. </w:t>
            </w:r>
          </w:p>
          <w:p w14:paraId="143CEA20" w14:textId="77777777" w:rsidR="00D25E44" w:rsidRPr="00791CFC" w:rsidRDefault="00D25E44" w:rsidP="002F5A67">
            <w:pPr>
              <w:textAlignment w:val="baseline"/>
              <w:rPr>
                <w:rFonts w:ascii="Calibri" w:hAnsi="Calibri" w:cs="Calibri"/>
              </w:rPr>
            </w:pP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FFFFFF"/>
            <w:hideMark/>
          </w:tcPr>
          <w:p w14:paraId="7FEE82E5" w14:textId="77777777" w:rsidR="00D25E44" w:rsidRPr="00791CFC" w:rsidRDefault="00D25E44" w:rsidP="002F5A67">
            <w:pPr>
              <w:textAlignment w:val="baseline"/>
              <w:rPr>
                <w:rFonts w:ascii="Calibri" w:hAnsi="Calibri" w:cs="Calibri"/>
              </w:rPr>
            </w:pPr>
            <w:r w:rsidRPr="00791CFC">
              <w:rPr>
                <w:rFonts w:ascii="Calibri" w:hAnsi="Calibri" w:cs="Calibri"/>
                <w:b/>
                <w:bCs/>
              </w:rPr>
              <w:lastRenderedPageBreak/>
              <w:t>      </w:t>
            </w:r>
            <w:r w:rsidRPr="00791CFC">
              <w:rPr>
                <w:rFonts w:ascii="Calibri" w:hAnsi="Calibri" w:cs="Calibri"/>
              </w:rPr>
              <w:t> </w:t>
            </w:r>
          </w:p>
          <w:p w14:paraId="7C209103"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FFFFFF"/>
            <w:hideMark/>
          </w:tcPr>
          <w:p w14:paraId="086809D1"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1A4D55CB"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FFFFFF"/>
            <w:hideMark/>
          </w:tcPr>
          <w:p w14:paraId="23E10F6F"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0C19E221" w14:textId="77777777" w:rsidR="00D25E44" w:rsidRPr="00791CFC" w:rsidRDefault="00D25E44" w:rsidP="002F5A67">
            <w:pPr>
              <w:textAlignment w:val="baseline"/>
              <w:rPr>
                <w:rFonts w:ascii="Calibri" w:hAnsi="Calibri" w:cs="Calibri"/>
              </w:rPr>
            </w:pPr>
            <w:r w:rsidRPr="00791CFC">
              <w:rPr>
                <w:rFonts w:ascii="Calibri" w:hAnsi="Calibri" w:cs="Calibri"/>
                <w:b/>
                <w:bCs/>
              </w:rPr>
              <w:t>   A/I/C</w:t>
            </w:r>
            <w:r w:rsidRPr="00791CFC">
              <w:rPr>
                <w:rFonts w:ascii="Calibri" w:hAnsi="Calibri" w:cs="Calibri"/>
              </w:rPr>
              <w:t> </w:t>
            </w:r>
          </w:p>
        </w:tc>
      </w:tr>
      <w:tr w:rsidR="00D25E44" w:rsidRPr="00791CFC" w14:paraId="2337393C"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4A3D5DE0"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D9D9D9"/>
            <w:hideMark/>
          </w:tcPr>
          <w:p w14:paraId="2F473424" w14:textId="77777777" w:rsidR="00D25E44" w:rsidRPr="00791CFC" w:rsidRDefault="00D25E44" w:rsidP="002F5A67">
            <w:pPr>
              <w:textAlignment w:val="baseline"/>
              <w:rPr>
                <w:rFonts w:ascii="Calibri" w:hAnsi="Calibri" w:cs="Calibri"/>
              </w:rPr>
            </w:pPr>
            <w:r w:rsidRPr="00791CFC">
              <w:rPr>
                <w:rFonts w:ascii="Calibri" w:hAnsi="Calibri" w:cs="Calibri"/>
                <w:b/>
                <w:bCs/>
              </w:rPr>
              <w:t>Skills</w:t>
            </w: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D9D9D9"/>
            <w:hideMark/>
          </w:tcPr>
          <w:p w14:paraId="59A813C8" w14:textId="77777777" w:rsidR="00D25E44" w:rsidRPr="00791CFC" w:rsidRDefault="00D25E44" w:rsidP="002F5A67">
            <w:pPr>
              <w:textAlignment w:val="baseline"/>
              <w:rPr>
                <w:rFonts w:ascii="Calibri" w:hAnsi="Calibri" w:cs="Calibri"/>
              </w:rPr>
            </w:pPr>
            <w:r w:rsidRPr="00791CFC">
              <w:rPr>
                <w:rFonts w:ascii="Calibri" w:hAnsi="Calibri" w:cs="Calibri"/>
                <w:b/>
                <w:bCs/>
              </w:rPr>
              <w:t>Essential</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D9D9D9"/>
            <w:hideMark/>
          </w:tcPr>
          <w:p w14:paraId="200BBD2B" w14:textId="77777777" w:rsidR="00D25E44" w:rsidRPr="00791CFC" w:rsidRDefault="00D25E44" w:rsidP="002F5A67">
            <w:pPr>
              <w:textAlignment w:val="baseline"/>
              <w:rPr>
                <w:rFonts w:ascii="Calibri" w:hAnsi="Calibri" w:cs="Calibri"/>
              </w:rPr>
            </w:pPr>
            <w:r w:rsidRPr="00791CFC">
              <w:rPr>
                <w:rFonts w:ascii="Calibri" w:hAnsi="Calibri" w:cs="Calibri"/>
                <w:b/>
                <w:bCs/>
              </w:rPr>
              <w:t>Desirable</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D9D9D9"/>
            <w:hideMark/>
          </w:tcPr>
          <w:p w14:paraId="7D64E878" w14:textId="77777777" w:rsidR="00D25E44" w:rsidRPr="00791CFC" w:rsidRDefault="00D25E44" w:rsidP="002F5A67">
            <w:pPr>
              <w:textAlignment w:val="baseline"/>
              <w:rPr>
                <w:rFonts w:ascii="Calibri" w:hAnsi="Calibri" w:cs="Calibri"/>
              </w:rPr>
            </w:pPr>
            <w:r w:rsidRPr="00791CFC">
              <w:rPr>
                <w:rFonts w:ascii="Calibri" w:hAnsi="Calibri" w:cs="Calibri"/>
                <w:b/>
                <w:bCs/>
              </w:rPr>
              <w:t>Assessed</w:t>
            </w:r>
            <w:r w:rsidRPr="00791CFC">
              <w:rPr>
                <w:rFonts w:ascii="Calibri" w:hAnsi="Calibri" w:cs="Calibri"/>
              </w:rPr>
              <w:t> </w:t>
            </w:r>
          </w:p>
        </w:tc>
      </w:tr>
      <w:tr w:rsidR="00D25E44" w:rsidRPr="00791CFC" w14:paraId="072558EA"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189B6D2B"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FFFFFF"/>
            <w:hideMark/>
          </w:tcPr>
          <w:p w14:paraId="1DB7D135" w14:textId="77777777" w:rsidR="00D25E44" w:rsidRPr="00791CFC" w:rsidRDefault="00D25E44" w:rsidP="002F5A67">
            <w:pPr>
              <w:textAlignment w:val="baseline"/>
              <w:rPr>
                <w:rFonts w:ascii="Calibri" w:hAnsi="Calibri" w:cs="Calibri"/>
              </w:rPr>
            </w:pPr>
            <w:r w:rsidRPr="00791CFC">
              <w:rPr>
                <w:rFonts w:ascii="Calibri" w:hAnsi="Calibri" w:cs="Calibri"/>
                <w:b/>
                <w:bCs/>
              </w:rPr>
              <w:t>Motivational Interviewing and Communication Skills</w:t>
            </w:r>
            <w:r w:rsidRPr="00791CFC">
              <w:rPr>
                <w:rFonts w:ascii="Calibri" w:hAnsi="Calibri" w:cs="Calibri"/>
              </w:rPr>
              <w:t>: Effective communication and motivational interviewing skills are crucial for building rapport with clients, understanding their motivations, and providing support throughout the quitting process.  </w:t>
            </w:r>
          </w:p>
        </w:tc>
        <w:tc>
          <w:tcPr>
            <w:tcW w:w="1110" w:type="dxa"/>
            <w:tcBorders>
              <w:top w:val="nil"/>
              <w:left w:val="single" w:sz="6" w:space="0" w:color="000000"/>
              <w:bottom w:val="single" w:sz="6" w:space="0" w:color="000000"/>
              <w:right w:val="single" w:sz="6" w:space="0" w:color="000000"/>
            </w:tcBorders>
            <w:shd w:val="clear" w:color="auto" w:fill="FFFFFF"/>
            <w:hideMark/>
          </w:tcPr>
          <w:p w14:paraId="2FE195C7"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7C3BBD9E"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FFFFFF"/>
            <w:hideMark/>
          </w:tcPr>
          <w:p w14:paraId="1AE65DCC"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12A91748" w14:textId="77777777" w:rsidR="00D25E44" w:rsidRPr="00791CFC" w:rsidRDefault="00D25E44" w:rsidP="002F5A67">
            <w:pPr>
              <w:textAlignment w:val="baseline"/>
              <w:rPr>
                <w:rFonts w:ascii="Calibri" w:hAnsi="Calibri" w:cs="Calibri"/>
              </w:rPr>
            </w:pPr>
            <w:r w:rsidRPr="00791CFC">
              <w:rPr>
                <w:rFonts w:ascii="Calibri" w:hAnsi="Calibri" w:cs="Calibri"/>
              </w:rPr>
              <w:t> </w:t>
            </w:r>
          </w:p>
          <w:p w14:paraId="7BEED329"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FFFFFF"/>
            <w:hideMark/>
          </w:tcPr>
          <w:p w14:paraId="1427B9F8" w14:textId="77777777" w:rsidR="00D25E44" w:rsidRPr="00791CFC" w:rsidRDefault="00D25E44" w:rsidP="002F5A67">
            <w:pP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53160C20" w14:textId="77777777" w:rsidR="00D25E44" w:rsidRPr="00791CFC" w:rsidRDefault="00D25E44" w:rsidP="002F5A67">
            <w:pPr>
              <w:textAlignment w:val="baseline"/>
              <w:rPr>
                <w:rFonts w:ascii="Calibri" w:hAnsi="Calibri" w:cs="Calibri"/>
              </w:rPr>
            </w:pPr>
            <w:r w:rsidRPr="00791CFC">
              <w:rPr>
                <w:rFonts w:ascii="Calibri" w:hAnsi="Calibri" w:cs="Calibri"/>
              </w:rPr>
              <w:t> </w:t>
            </w:r>
          </w:p>
          <w:p w14:paraId="0FDC07D6" w14:textId="77777777" w:rsidR="00D25E44" w:rsidRPr="00791CFC" w:rsidRDefault="00D25E44" w:rsidP="002F5A67">
            <w:pPr>
              <w:textAlignment w:val="baseline"/>
              <w:rPr>
                <w:rFonts w:ascii="Calibri" w:hAnsi="Calibri" w:cs="Calibri"/>
              </w:rPr>
            </w:pPr>
            <w:r w:rsidRPr="00791CFC">
              <w:rPr>
                <w:rFonts w:ascii="Calibri" w:hAnsi="Calibri" w:cs="Calibri"/>
                <w:b/>
                <w:bCs/>
              </w:rPr>
              <w:t>       A/I</w:t>
            </w:r>
            <w:r w:rsidRPr="00791CFC">
              <w:rPr>
                <w:rFonts w:ascii="Calibri" w:hAnsi="Calibri" w:cs="Calibri"/>
              </w:rPr>
              <w:t> </w:t>
            </w:r>
          </w:p>
        </w:tc>
      </w:tr>
      <w:tr w:rsidR="00D25E44" w:rsidRPr="00791CFC" w14:paraId="42246FA2"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3ED0B704"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D9D9D9"/>
            <w:hideMark/>
          </w:tcPr>
          <w:p w14:paraId="6809DC28" w14:textId="77777777" w:rsidR="00D25E44" w:rsidRPr="00791CFC" w:rsidRDefault="00D25E44" w:rsidP="002F5A67">
            <w:pPr>
              <w:textAlignment w:val="baseline"/>
              <w:rPr>
                <w:rFonts w:ascii="Calibri" w:hAnsi="Calibri" w:cs="Calibri"/>
              </w:rPr>
            </w:pPr>
            <w:r w:rsidRPr="00791CFC">
              <w:rPr>
                <w:rFonts w:ascii="Calibri" w:hAnsi="Calibri" w:cs="Calibri"/>
                <w:b/>
                <w:bCs/>
              </w:rPr>
              <w:t>Qualifications</w:t>
            </w: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D9D9D9"/>
            <w:hideMark/>
          </w:tcPr>
          <w:p w14:paraId="5D4FE437"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Essential</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D9D9D9"/>
            <w:hideMark/>
          </w:tcPr>
          <w:p w14:paraId="5CF2EB38"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Desirable</w:t>
            </w: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D9D9D9"/>
            <w:hideMark/>
          </w:tcPr>
          <w:p w14:paraId="6E36A9FE"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Assessed</w:t>
            </w:r>
            <w:r w:rsidRPr="00791CFC">
              <w:rPr>
                <w:rFonts w:ascii="Calibri" w:hAnsi="Calibri" w:cs="Calibri"/>
              </w:rPr>
              <w:t> </w:t>
            </w:r>
          </w:p>
        </w:tc>
      </w:tr>
      <w:tr w:rsidR="00D25E44" w:rsidRPr="00791CFC" w14:paraId="22A54E3F" w14:textId="77777777" w:rsidTr="002F5A67">
        <w:trPr>
          <w:trHeight w:val="60"/>
        </w:trPr>
        <w:tc>
          <w:tcPr>
            <w:tcW w:w="36" w:type="dxa"/>
            <w:tcBorders>
              <w:top w:val="outset" w:sz="6" w:space="0" w:color="auto"/>
              <w:left w:val="outset" w:sz="6" w:space="0" w:color="auto"/>
              <w:bottom w:val="outset" w:sz="6" w:space="0" w:color="auto"/>
              <w:right w:val="outset" w:sz="6" w:space="0" w:color="auto"/>
            </w:tcBorders>
            <w:shd w:val="clear" w:color="auto" w:fill="auto"/>
            <w:hideMark/>
          </w:tcPr>
          <w:p w14:paraId="0ADB6528" w14:textId="77777777" w:rsidR="00D25E44" w:rsidRPr="00791CFC" w:rsidRDefault="00D25E44" w:rsidP="002F5A67">
            <w:pPr>
              <w:rPr>
                <w:rFonts w:ascii="Calibri" w:hAnsi="Calibri" w:cs="Calibri"/>
              </w:rPr>
            </w:pPr>
            <w:r w:rsidRPr="00791CFC">
              <w:rPr>
                <w:rFonts w:ascii="Calibri" w:hAnsi="Calibri" w:cs="Calibri"/>
              </w:rPr>
              <w:t> </w:t>
            </w:r>
          </w:p>
        </w:tc>
        <w:tc>
          <w:tcPr>
            <w:tcW w:w="5147" w:type="dxa"/>
            <w:tcBorders>
              <w:top w:val="nil"/>
              <w:left w:val="single" w:sz="6" w:space="0" w:color="000000"/>
              <w:bottom w:val="single" w:sz="6" w:space="0" w:color="000000"/>
              <w:right w:val="single" w:sz="6" w:space="0" w:color="000000"/>
            </w:tcBorders>
            <w:shd w:val="clear" w:color="auto" w:fill="FFFFFF"/>
            <w:hideMark/>
          </w:tcPr>
          <w:p w14:paraId="1DC47810" w14:textId="77777777" w:rsidR="00D25E44" w:rsidRPr="00791CFC" w:rsidRDefault="00D25E44" w:rsidP="002F5A67">
            <w:pPr>
              <w:textAlignment w:val="baseline"/>
              <w:rPr>
                <w:rFonts w:ascii="Calibri" w:hAnsi="Calibri" w:cs="Calibri"/>
              </w:rPr>
            </w:pPr>
            <w:r w:rsidRPr="00791CFC">
              <w:rPr>
                <w:rFonts w:ascii="Calibri" w:hAnsi="Calibri" w:cs="Calibri"/>
                <w:b/>
                <w:bCs/>
              </w:rPr>
              <w:t>Certification in Smoking Cessation</w:t>
            </w:r>
            <w:r w:rsidRPr="00791CFC">
              <w:rPr>
                <w:rFonts w:ascii="Calibri" w:hAnsi="Calibri" w:cs="Calibri"/>
              </w:rPr>
              <w:t>: Completion of a recognised smoking cessation course or certification program, demonstrating expertise in helping individuals quit smoking. </w:t>
            </w:r>
          </w:p>
          <w:p w14:paraId="153ED110" w14:textId="77777777" w:rsidR="00D25E44" w:rsidRPr="00791CFC" w:rsidRDefault="00D25E44" w:rsidP="002F5A67">
            <w:pPr>
              <w:textAlignment w:val="baseline"/>
              <w:rPr>
                <w:rFonts w:ascii="Calibri" w:hAnsi="Calibri" w:cs="Calibri"/>
              </w:rPr>
            </w:pPr>
            <w:r w:rsidRPr="00791CFC">
              <w:rPr>
                <w:rFonts w:ascii="Calibri" w:hAnsi="Calibri" w:cs="Calibri"/>
              </w:rPr>
              <w:t> </w:t>
            </w:r>
          </w:p>
        </w:tc>
        <w:tc>
          <w:tcPr>
            <w:tcW w:w="1110" w:type="dxa"/>
            <w:tcBorders>
              <w:top w:val="nil"/>
              <w:left w:val="single" w:sz="6" w:space="0" w:color="000000"/>
              <w:bottom w:val="single" w:sz="6" w:space="0" w:color="000000"/>
              <w:right w:val="single" w:sz="6" w:space="0" w:color="000000"/>
            </w:tcBorders>
            <w:shd w:val="clear" w:color="auto" w:fill="FFFFFF"/>
            <w:hideMark/>
          </w:tcPr>
          <w:p w14:paraId="25E6FEB9"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   </w:t>
            </w:r>
            <w:r w:rsidRPr="00791CFC">
              <w:rPr>
                <w:rFonts w:ascii="Calibri" w:hAnsi="Calibri" w:cs="Calibri"/>
              </w:rPr>
              <w:t> </w:t>
            </w:r>
          </w:p>
          <w:p w14:paraId="29C6C39E" w14:textId="77777777" w:rsidR="00D25E44" w:rsidRPr="00791CFC" w:rsidRDefault="00D25E44" w:rsidP="002F5A67">
            <w:pPr>
              <w:jc w:val="center"/>
              <w:textAlignment w:val="baseline"/>
              <w:rPr>
                <w:rFonts w:ascii="Calibri" w:hAnsi="Calibri" w:cs="Calibri"/>
              </w:rPr>
            </w:pPr>
            <w:r w:rsidRPr="00791CFC">
              <w:rPr>
                <w:rFonts w:ascii="Calibri" w:hAnsi="Calibri" w:cs="Calibri"/>
              </w:rPr>
              <w:t> </w:t>
            </w:r>
          </w:p>
          <w:p w14:paraId="494B5805" w14:textId="77777777" w:rsidR="00D25E44" w:rsidRPr="00791CFC" w:rsidRDefault="00D25E44" w:rsidP="002F5A67">
            <w:pPr>
              <w:jc w:val="center"/>
              <w:textAlignment w:val="baseline"/>
              <w:rPr>
                <w:rFonts w:ascii="Calibri" w:hAnsi="Calibri" w:cs="Calibri"/>
              </w:rPr>
            </w:pPr>
            <w:r w:rsidRPr="00791CFC">
              <w:rPr>
                <w:rFonts w:ascii="Calibri" w:hAnsi="Calibri" w:cs="Calibri"/>
                <w:b/>
                <w:bCs/>
              </w:rPr>
              <w:t> √</w:t>
            </w:r>
            <w:r w:rsidRPr="00791CFC">
              <w:rPr>
                <w:rFonts w:ascii="Calibri" w:hAnsi="Calibri" w:cs="Calibri"/>
              </w:rPr>
              <w:t> </w:t>
            </w:r>
          </w:p>
        </w:tc>
        <w:tc>
          <w:tcPr>
            <w:tcW w:w="1101" w:type="dxa"/>
            <w:tcBorders>
              <w:top w:val="nil"/>
              <w:left w:val="single" w:sz="6" w:space="0" w:color="000000"/>
              <w:bottom w:val="single" w:sz="6" w:space="0" w:color="000000"/>
              <w:right w:val="single" w:sz="6" w:space="0" w:color="000000"/>
            </w:tcBorders>
            <w:shd w:val="clear" w:color="auto" w:fill="FFFFFF"/>
            <w:hideMark/>
          </w:tcPr>
          <w:p w14:paraId="6A7C8690" w14:textId="77777777" w:rsidR="00D25E44" w:rsidRPr="00791CFC" w:rsidRDefault="00D25E44" w:rsidP="002F5A67">
            <w:pPr>
              <w:jc w:val="center"/>
              <w:textAlignment w:val="baseline"/>
              <w:rPr>
                <w:rFonts w:ascii="Calibri" w:hAnsi="Calibri" w:cs="Calibri"/>
              </w:rPr>
            </w:pPr>
            <w:r w:rsidRPr="00791CFC">
              <w:rPr>
                <w:rFonts w:ascii="Calibri" w:hAnsi="Calibri" w:cs="Calibri"/>
              </w:rPr>
              <w:t> </w:t>
            </w:r>
          </w:p>
        </w:tc>
        <w:tc>
          <w:tcPr>
            <w:tcW w:w="1721" w:type="dxa"/>
            <w:tcBorders>
              <w:top w:val="nil"/>
              <w:left w:val="single" w:sz="6" w:space="0" w:color="000000"/>
              <w:bottom w:val="single" w:sz="6" w:space="0" w:color="000000"/>
              <w:right w:val="single" w:sz="6" w:space="0" w:color="000000"/>
            </w:tcBorders>
            <w:shd w:val="clear" w:color="auto" w:fill="FFFFFF"/>
            <w:hideMark/>
          </w:tcPr>
          <w:p w14:paraId="46433ED8" w14:textId="77777777" w:rsidR="00D25E44" w:rsidRPr="00791CFC" w:rsidRDefault="00D25E44" w:rsidP="002F5A67">
            <w:pPr>
              <w:jc w:val="center"/>
              <w:textAlignment w:val="baseline"/>
              <w:rPr>
                <w:rFonts w:ascii="Calibri" w:hAnsi="Calibri" w:cs="Calibri"/>
              </w:rPr>
            </w:pPr>
            <w:r w:rsidRPr="00791CFC">
              <w:rPr>
                <w:rFonts w:ascii="Calibri" w:hAnsi="Calibri" w:cs="Calibri"/>
              </w:rPr>
              <w:t> </w:t>
            </w:r>
          </w:p>
          <w:p w14:paraId="1CCEB9F7" w14:textId="77777777" w:rsidR="00D25E44" w:rsidRPr="00791CFC" w:rsidRDefault="00D25E44" w:rsidP="002F5A67">
            <w:pPr>
              <w:jc w:val="center"/>
              <w:textAlignment w:val="baseline"/>
              <w:rPr>
                <w:rFonts w:ascii="Calibri" w:hAnsi="Calibri" w:cs="Calibri"/>
              </w:rPr>
            </w:pPr>
            <w:r w:rsidRPr="00791CFC">
              <w:rPr>
                <w:rFonts w:ascii="Calibri" w:hAnsi="Calibri" w:cs="Calibri"/>
              </w:rPr>
              <w:t> </w:t>
            </w:r>
          </w:p>
          <w:p w14:paraId="41C0F5DF" w14:textId="77777777" w:rsidR="00D25E44" w:rsidRPr="00791CFC" w:rsidRDefault="00D25E44" w:rsidP="002F5A67">
            <w:pPr>
              <w:textAlignment w:val="baseline"/>
              <w:rPr>
                <w:rFonts w:ascii="Calibri" w:hAnsi="Calibri" w:cs="Calibri"/>
              </w:rPr>
            </w:pPr>
            <w:r w:rsidRPr="00791CFC">
              <w:rPr>
                <w:rFonts w:ascii="Calibri" w:hAnsi="Calibri" w:cs="Calibri"/>
                <w:b/>
                <w:bCs/>
              </w:rPr>
              <w:t>    A/I/C</w:t>
            </w:r>
            <w:r w:rsidRPr="00791CFC">
              <w:rPr>
                <w:rFonts w:ascii="Calibri" w:hAnsi="Calibri" w:cs="Calibri"/>
              </w:rPr>
              <w:t> </w:t>
            </w:r>
          </w:p>
        </w:tc>
      </w:tr>
    </w:tbl>
    <w:p w14:paraId="46ED7C79" w14:textId="77777777" w:rsidR="00D25E44" w:rsidRDefault="00D25E44"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4"/>
      <w:footerReference w:type="default" r:id="rId15"/>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385"/>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2FA1"/>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5E44"/>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media/afdbdeao/five_valu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ng2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t.co.uk/publication_stop-smoking-services-needs-analysis-a-toolkit-for-commissioners.ph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986</Words>
  <Characters>6514</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Shanice Watson</cp:lastModifiedBy>
  <cp:revision>2</cp:revision>
  <cp:lastPrinted>2017-06-17T17:03:00Z</cp:lastPrinted>
  <dcterms:created xsi:type="dcterms:W3CDTF">2024-10-04T09:28:00Z</dcterms:created>
  <dcterms:modified xsi:type="dcterms:W3CDTF">2024-10-04T09:28:00Z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