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bookmarkStart w:id="1" w:name="_GoBack"/>
      <w:r>
        <w:t>Support Staff Member</w:t>
      </w:r>
    </w:p>
    <w:bookmarkEnd w:id="1"/>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E236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8E236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8AF2AE2"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E236D" w:rsidRPr="008E236D">
          <w:rPr>
            <w:b/>
            <w:bCs/>
            <w:noProof/>
          </w:rPr>
          <w:t>4</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8E236D"/>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F5A10-D253-4D9F-880D-8FDC7DA3AF3B}"/>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042F468D-170D-4E0F-BCEF-D0CD13A2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Linda Humphries</cp:lastModifiedBy>
  <cp:revision>2</cp:revision>
  <cp:lastPrinted>2019-04-01T10:14:00Z</cp:lastPrinted>
  <dcterms:created xsi:type="dcterms:W3CDTF">2023-05-02T12:34:00Z</dcterms:created>
  <dcterms:modified xsi:type="dcterms:W3CDTF">2023-05-02T12:34:00Z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