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CA" w:rsidRPr="009326DB" w:rsidRDefault="00C16EA4" w:rsidP="0014778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pt;height:41.4pt;mso-position-horizontal:absolute;mso-position-horizontal-relative:text;mso-position-vertical:absolute;mso-position-vertical-relative:text;mso-width-relative:page;mso-height-relative:page">
            <v:imagedata r:id="rId7" o:title="Chestnut-Grove-Leaves-Col"/>
          </v:shape>
        </w:pict>
      </w:r>
      <w:r w:rsidR="00845DCA" w:rsidRPr="009326DB">
        <w:rPr>
          <w:rFonts w:ascii="Arial" w:hAnsi="Arial" w:cs="Arial"/>
          <w:b/>
          <w:sz w:val="28"/>
          <w:szCs w:val="28"/>
        </w:rPr>
        <w:t xml:space="preserve">THE </w:t>
      </w:r>
      <w:r w:rsidR="009326DB" w:rsidRPr="009326DB">
        <w:rPr>
          <w:rFonts w:ascii="Arial" w:hAnsi="Arial" w:cs="Arial"/>
          <w:b/>
          <w:sz w:val="28"/>
          <w:szCs w:val="28"/>
        </w:rPr>
        <w:t>PHILOSOPHY, BELIEFS &amp; ETHICS (PBE)</w:t>
      </w:r>
      <w:r w:rsidR="00845DCA" w:rsidRPr="009326DB">
        <w:rPr>
          <w:rFonts w:ascii="Arial" w:hAnsi="Arial" w:cs="Arial"/>
          <w:b/>
          <w:sz w:val="28"/>
          <w:szCs w:val="28"/>
        </w:rPr>
        <w:t xml:space="preserve"> FACULTY</w:t>
      </w:r>
    </w:p>
    <w:p w:rsidR="00845DCA" w:rsidRPr="009326DB" w:rsidRDefault="00845DCA" w:rsidP="00147784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326DB">
        <w:rPr>
          <w:rFonts w:ascii="Arial" w:hAnsi="Arial" w:cs="Arial"/>
          <w:sz w:val="28"/>
          <w:szCs w:val="28"/>
        </w:rPr>
        <w:t>INFORMATION FOR CANDIDATES</w:t>
      </w:r>
    </w:p>
    <w:p w:rsidR="00845DCA" w:rsidRPr="009326DB" w:rsidRDefault="00845DCA" w:rsidP="009326DB">
      <w:pPr>
        <w:pStyle w:val="NoSpacing"/>
        <w:rPr>
          <w:rFonts w:ascii="Arial" w:hAnsi="Arial" w:cs="Arial"/>
          <w:b/>
        </w:rPr>
      </w:pPr>
    </w:p>
    <w:p w:rsidR="00845DCA" w:rsidRPr="009326DB" w:rsidRDefault="00845DCA" w:rsidP="009326DB">
      <w:pPr>
        <w:pStyle w:val="NoSpacing"/>
        <w:rPr>
          <w:rFonts w:ascii="Arial" w:hAnsi="Arial" w:cs="Arial"/>
          <w:b/>
        </w:rPr>
      </w:pPr>
      <w:r w:rsidRPr="009326DB">
        <w:rPr>
          <w:rFonts w:ascii="Arial" w:hAnsi="Arial" w:cs="Arial"/>
          <w:b/>
        </w:rPr>
        <w:t xml:space="preserve">1. </w:t>
      </w:r>
      <w:r w:rsidRPr="009326DB">
        <w:rPr>
          <w:rFonts w:ascii="Arial" w:hAnsi="Arial" w:cs="Arial"/>
          <w:b/>
        </w:rPr>
        <w:tab/>
        <w:t>Staffing:</w:t>
      </w:r>
    </w:p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</w:p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Cs/>
        </w:rPr>
        <w:t>Humanities consists of History, Geography,</w:t>
      </w:r>
      <w:r w:rsidR="009326DB" w:rsidRPr="009326DB">
        <w:rPr>
          <w:rFonts w:ascii="Arial" w:hAnsi="Arial" w:cs="Arial"/>
          <w:bCs/>
        </w:rPr>
        <w:t xml:space="preserve"> and</w:t>
      </w:r>
      <w:r w:rsidRPr="009326DB">
        <w:rPr>
          <w:rFonts w:ascii="Arial" w:hAnsi="Arial" w:cs="Arial"/>
          <w:bCs/>
        </w:rPr>
        <w:t xml:space="preserve"> R.E</w:t>
      </w:r>
      <w:r w:rsidR="009326DB" w:rsidRPr="009326DB">
        <w:rPr>
          <w:rFonts w:ascii="Arial" w:hAnsi="Arial" w:cs="Arial"/>
          <w:bCs/>
        </w:rPr>
        <w:t>, re-named as Philosophy, Beliefs and Ethics. The Head of PBE is also the Head of Psychology</w:t>
      </w:r>
      <w:r w:rsidR="00FE47E4">
        <w:rPr>
          <w:rFonts w:ascii="Arial" w:hAnsi="Arial" w:cs="Arial"/>
          <w:bCs/>
        </w:rPr>
        <w:t xml:space="preserve"> and Health, although this role </w:t>
      </w:r>
      <w:proofErr w:type="gramStart"/>
      <w:r w:rsidR="00FE47E4">
        <w:rPr>
          <w:rFonts w:ascii="Arial" w:hAnsi="Arial" w:cs="Arial"/>
          <w:bCs/>
        </w:rPr>
        <w:t>will be divided</w:t>
      </w:r>
      <w:proofErr w:type="gramEnd"/>
      <w:r w:rsidR="00FE47E4">
        <w:rPr>
          <w:rFonts w:ascii="Arial" w:hAnsi="Arial" w:cs="Arial"/>
          <w:bCs/>
        </w:rPr>
        <w:t xml:space="preserve"> amongst several heads of department in her absence</w:t>
      </w:r>
      <w:r w:rsidR="009326DB" w:rsidRPr="009326DB">
        <w:rPr>
          <w:rFonts w:ascii="Arial" w:hAnsi="Arial" w:cs="Arial"/>
          <w:bCs/>
        </w:rPr>
        <w:t xml:space="preserve">.  Humanities teachers </w:t>
      </w:r>
      <w:r w:rsidRPr="009326DB">
        <w:rPr>
          <w:rFonts w:ascii="Arial" w:hAnsi="Arial" w:cs="Arial"/>
          <w:bCs/>
        </w:rPr>
        <w:t>work together to deli</w:t>
      </w:r>
      <w:r w:rsidR="009326DB" w:rsidRPr="009326DB">
        <w:rPr>
          <w:rFonts w:ascii="Arial" w:hAnsi="Arial" w:cs="Arial"/>
          <w:bCs/>
        </w:rPr>
        <w:t>ver their own discrete subjects although some teaching is cross-f</w:t>
      </w:r>
      <w:r w:rsidRPr="009326DB">
        <w:rPr>
          <w:rFonts w:ascii="Arial" w:hAnsi="Arial" w:cs="Arial"/>
          <w:bCs/>
        </w:rPr>
        <w:t>aculty.</w:t>
      </w:r>
    </w:p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</w:p>
    <w:p w:rsidR="00845DCA" w:rsidRDefault="00845DCA" w:rsidP="009326DB">
      <w:pPr>
        <w:pStyle w:val="NoSpacing"/>
        <w:rPr>
          <w:rFonts w:ascii="Arial" w:hAnsi="Arial" w:cs="Arial"/>
          <w:b/>
        </w:rPr>
      </w:pPr>
      <w:r w:rsidRPr="009326DB">
        <w:rPr>
          <w:rFonts w:ascii="Arial" w:hAnsi="Arial" w:cs="Arial"/>
          <w:b/>
        </w:rPr>
        <w:t xml:space="preserve">2.  </w:t>
      </w:r>
      <w:r w:rsidRPr="009326DB">
        <w:rPr>
          <w:rFonts w:ascii="Arial" w:hAnsi="Arial" w:cs="Arial"/>
          <w:b/>
        </w:rPr>
        <w:tab/>
        <w:t>Accommodation:</w:t>
      </w:r>
    </w:p>
    <w:p w:rsidR="009326DB" w:rsidRPr="009326DB" w:rsidRDefault="009326DB" w:rsidP="009326DB">
      <w:pPr>
        <w:pStyle w:val="NoSpacing"/>
        <w:rPr>
          <w:rFonts w:ascii="Arial" w:hAnsi="Arial" w:cs="Arial"/>
          <w:b/>
        </w:rPr>
      </w:pPr>
    </w:p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Cs/>
        </w:rPr>
        <w:t xml:space="preserve">The subjects </w:t>
      </w:r>
      <w:proofErr w:type="gramStart"/>
      <w:r w:rsidRPr="009326DB">
        <w:rPr>
          <w:rFonts w:ascii="Arial" w:hAnsi="Arial" w:cs="Arial"/>
          <w:bCs/>
        </w:rPr>
        <w:t>are housed</w:t>
      </w:r>
      <w:proofErr w:type="gramEnd"/>
      <w:r w:rsidRPr="009326DB">
        <w:rPr>
          <w:rFonts w:ascii="Arial" w:hAnsi="Arial" w:cs="Arial"/>
          <w:bCs/>
        </w:rPr>
        <w:t xml:space="preserve"> in </w:t>
      </w:r>
      <w:r w:rsidR="009326DB" w:rsidRPr="009326DB">
        <w:rPr>
          <w:rFonts w:ascii="Arial" w:hAnsi="Arial" w:cs="Arial"/>
          <w:bCs/>
        </w:rPr>
        <w:t>one main area of the new school building. All classrooms have</w:t>
      </w:r>
      <w:r w:rsidRPr="009326DB">
        <w:rPr>
          <w:rFonts w:ascii="Arial" w:hAnsi="Arial" w:cs="Arial"/>
          <w:bCs/>
        </w:rPr>
        <w:t xml:space="preserve"> interactive whiteboards.</w:t>
      </w:r>
      <w:r w:rsidR="009326DB" w:rsidRPr="009326DB">
        <w:rPr>
          <w:rFonts w:ascii="Arial" w:hAnsi="Arial" w:cs="Arial"/>
          <w:bCs/>
        </w:rPr>
        <w:t xml:space="preserve"> There is also a Humanities hub where staff can work outside of their classrooms.</w:t>
      </w:r>
    </w:p>
    <w:p w:rsidR="009326DB" w:rsidRPr="009326DB" w:rsidRDefault="009326DB" w:rsidP="009326DB">
      <w:pPr>
        <w:pStyle w:val="NoSpacing"/>
        <w:rPr>
          <w:rFonts w:ascii="Arial" w:hAnsi="Arial" w:cs="Arial"/>
          <w:b/>
        </w:rPr>
      </w:pPr>
    </w:p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/>
        </w:rPr>
        <w:t>3.</w:t>
      </w:r>
      <w:r w:rsidRPr="009326DB">
        <w:rPr>
          <w:rFonts w:ascii="Arial" w:hAnsi="Arial" w:cs="Arial"/>
          <w:b/>
        </w:rPr>
        <w:tab/>
        <w:t>Curriculum and Organisation</w:t>
      </w:r>
      <w:r w:rsidRPr="009326DB">
        <w:rPr>
          <w:rFonts w:ascii="Arial" w:hAnsi="Arial" w:cs="Arial"/>
          <w:bCs/>
        </w:rPr>
        <w:t>.</w:t>
      </w:r>
    </w:p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</w:p>
    <w:p w:rsidR="00845DCA" w:rsidRPr="009326DB" w:rsidRDefault="00845DCA" w:rsidP="009326DB">
      <w:pPr>
        <w:pStyle w:val="NoSpacing"/>
        <w:rPr>
          <w:rFonts w:ascii="Arial" w:hAnsi="Arial" w:cs="Arial"/>
          <w:b/>
        </w:rPr>
      </w:pPr>
      <w:r w:rsidRPr="009326DB">
        <w:rPr>
          <w:rFonts w:ascii="Arial" w:hAnsi="Arial" w:cs="Arial"/>
          <w:b/>
        </w:rPr>
        <w:t xml:space="preserve">a)  </w:t>
      </w:r>
      <w:r w:rsidRPr="009326DB">
        <w:rPr>
          <w:rFonts w:ascii="Arial" w:hAnsi="Arial" w:cs="Arial"/>
          <w:b/>
        </w:rPr>
        <w:tab/>
        <w:t>Key Stage 3:</w:t>
      </w:r>
    </w:p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</w:p>
    <w:p w:rsidR="009326DB" w:rsidRPr="009326DB" w:rsidRDefault="009326DB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Cs/>
        </w:rPr>
        <w:t>Students receive one hour of PBE teaching a week. All students take the full GCSE course. Students begin their GCSE in Religious Studies in Year 9 to give them sufficient time to cover all the content.</w:t>
      </w:r>
      <w:r>
        <w:rPr>
          <w:rFonts w:ascii="Arial" w:hAnsi="Arial" w:cs="Arial"/>
          <w:bCs/>
        </w:rPr>
        <w:t xml:space="preserve"> Students study the AQA Religious Studies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course.</w:t>
      </w:r>
    </w:p>
    <w:p w:rsidR="009326DB" w:rsidRPr="009326DB" w:rsidRDefault="009326DB" w:rsidP="009326DB">
      <w:pPr>
        <w:pStyle w:val="NoSpacing"/>
        <w:rPr>
          <w:rFonts w:ascii="Arial" w:hAnsi="Arial" w:cs="Arial"/>
          <w:bCs/>
        </w:rPr>
      </w:pPr>
    </w:p>
    <w:p w:rsidR="00845DCA" w:rsidRDefault="00845DCA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Cs/>
        </w:rPr>
        <w:t xml:space="preserve">Students </w:t>
      </w:r>
      <w:proofErr w:type="gramStart"/>
      <w:r w:rsidRPr="009326DB">
        <w:rPr>
          <w:rFonts w:ascii="Arial" w:hAnsi="Arial" w:cs="Arial"/>
          <w:bCs/>
        </w:rPr>
        <w:t>are taught</w:t>
      </w:r>
      <w:proofErr w:type="gramEnd"/>
      <w:r w:rsidRPr="009326DB">
        <w:rPr>
          <w:rFonts w:ascii="Arial" w:hAnsi="Arial" w:cs="Arial"/>
          <w:bCs/>
        </w:rPr>
        <w:t xml:space="preserve"> in mixed ability group</w:t>
      </w:r>
      <w:r w:rsidR="009326DB" w:rsidRPr="009326DB">
        <w:rPr>
          <w:rFonts w:ascii="Arial" w:hAnsi="Arial" w:cs="Arial"/>
          <w:bCs/>
        </w:rPr>
        <w:t>s</w:t>
      </w:r>
      <w:r w:rsidRPr="009326DB">
        <w:rPr>
          <w:rFonts w:ascii="Arial" w:hAnsi="Arial" w:cs="Arial"/>
          <w:bCs/>
        </w:rPr>
        <w:t xml:space="preserve"> in </w:t>
      </w:r>
      <w:r w:rsidR="00FE47E4">
        <w:rPr>
          <w:rFonts w:ascii="Arial" w:hAnsi="Arial" w:cs="Arial"/>
          <w:bCs/>
        </w:rPr>
        <w:t>all year groups apart from Year 11</w:t>
      </w:r>
      <w:r w:rsidRPr="009326DB">
        <w:rPr>
          <w:rFonts w:ascii="Arial" w:hAnsi="Arial" w:cs="Arial"/>
          <w:bCs/>
        </w:rPr>
        <w:t xml:space="preserve">.  The breadth of ability is considerable, ranging from the most able to a </w:t>
      </w:r>
      <w:proofErr w:type="gramStart"/>
      <w:r w:rsidRPr="009326DB">
        <w:rPr>
          <w:rFonts w:ascii="Arial" w:hAnsi="Arial" w:cs="Arial"/>
          <w:bCs/>
        </w:rPr>
        <w:t>fairly large</w:t>
      </w:r>
      <w:proofErr w:type="gramEnd"/>
      <w:r w:rsidRPr="009326DB">
        <w:rPr>
          <w:rFonts w:ascii="Arial" w:hAnsi="Arial" w:cs="Arial"/>
          <w:bCs/>
        </w:rPr>
        <w:t xml:space="preserve"> number of students with Special Educational Needs.  </w:t>
      </w:r>
    </w:p>
    <w:p w:rsidR="009326DB" w:rsidRPr="009326DB" w:rsidRDefault="009326DB" w:rsidP="009326DB">
      <w:pPr>
        <w:pStyle w:val="NoSpacing"/>
        <w:rPr>
          <w:rFonts w:ascii="Arial" w:hAnsi="Arial" w:cs="Arial"/>
          <w:bCs/>
        </w:rPr>
      </w:pPr>
    </w:p>
    <w:p w:rsidR="00845DCA" w:rsidRDefault="00845DCA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Cs/>
        </w:rPr>
        <w:t>Topics studied at Key Stage 3 include:</w:t>
      </w:r>
    </w:p>
    <w:p w:rsidR="009326DB" w:rsidRDefault="009326DB" w:rsidP="009326DB">
      <w:pPr>
        <w:pStyle w:val="NoSpacing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283"/>
      </w:tblGrid>
      <w:tr w:rsidR="009326DB" w:rsidRPr="00147784" w:rsidTr="00147784">
        <w:tc>
          <w:tcPr>
            <w:tcW w:w="1242" w:type="dxa"/>
          </w:tcPr>
          <w:p w:rsidR="009326DB" w:rsidRPr="00147784" w:rsidRDefault="009326DB" w:rsidP="009326D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47784">
              <w:rPr>
                <w:rFonts w:ascii="Arial" w:hAnsi="Arial" w:cs="Arial"/>
                <w:b/>
                <w:bCs/>
              </w:rPr>
              <w:t>Year 7</w:t>
            </w:r>
          </w:p>
        </w:tc>
        <w:tc>
          <w:tcPr>
            <w:tcW w:w="7283" w:type="dxa"/>
          </w:tcPr>
          <w:p w:rsidR="009326DB" w:rsidRPr="00147784" w:rsidRDefault="009326DB" w:rsidP="009326DB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 xml:space="preserve">Why do we study PBE? Including the study of medical ethics </w:t>
            </w:r>
          </w:p>
          <w:p w:rsidR="009326DB" w:rsidRPr="00147784" w:rsidRDefault="009326DB" w:rsidP="009326DB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Judaism, including the study of Israel and Palestine</w:t>
            </w:r>
          </w:p>
          <w:p w:rsidR="009326DB" w:rsidRDefault="009326DB" w:rsidP="009326DB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Buddhism, including the study of Tibet and meditation</w:t>
            </w:r>
          </w:p>
          <w:p w:rsidR="00FE47E4" w:rsidRDefault="00FE47E4" w:rsidP="009326DB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Philosophy and ethics, including the study of immigration</w:t>
            </w:r>
          </w:p>
          <w:p w:rsidR="009326DB" w:rsidRPr="00147784" w:rsidRDefault="009326DB" w:rsidP="009326DB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Sikhism, including the ethics of war and charity work</w:t>
            </w:r>
          </w:p>
          <w:p w:rsidR="009326DB" w:rsidRPr="00147784" w:rsidRDefault="00FE47E4" w:rsidP="009326DB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Religions of Africa, including Voodoo and Bantu</w:t>
            </w:r>
          </w:p>
        </w:tc>
      </w:tr>
    </w:tbl>
    <w:p w:rsidR="009326DB" w:rsidRDefault="009326DB" w:rsidP="009326DB">
      <w:pPr>
        <w:pStyle w:val="NoSpacing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283"/>
      </w:tblGrid>
      <w:tr w:rsidR="009326DB" w:rsidRPr="00147784" w:rsidTr="00147784">
        <w:tc>
          <w:tcPr>
            <w:tcW w:w="1242" w:type="dxa"/>
          </w:tcPr>
          <w:p w:rsidR="009326DB" w:rsidRPr="00147784" w:rsidRDefault="009326DB" w:rsidP="001477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47784">
              <w:rPr>
                <w:rFonts w:ascii="Arial" w:hAnsi="Arial" w:cs="Arial"/>
                <w:b/>
                <w:bCs/>
              </w:rPr>
              <w:t>Year 8</w:t>
            </w:r>
          </w:p>
        </w:tc>
        <w:tc>
          <w:tcPr>
            <w:tcW w:w="7283" w:type="dxa"/>
          </w:tcPr>
          <w:p w:rsidR="009326DB" w:rsidRPr="00147784" w:rsidRDefault="009326DB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Islam, including the study of Islamophobia and the 5 Pillars</w:t>
            </w:r>
          </w:p>
          <w:p w:rsidR="009326DB" w:rsidRDefault="009326DB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Christianity, including the study of famous preachers and the Incarnation</w:t>
            </w:r>
          </w:p>
          <w:p w:rsidR="00FE47E4" w:rsidRPr="00147784" w:rsidRDefault="00FE47E4" w:rsidP="00FE47E4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Big Ideas, including the study of colonialism and feminism</w:t>
            </w:r>
          </w:p>
          <w:p w:rsidR="009326DB" w:rsidRDefault="009326DB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What makes us human? Including the study of the mind-body and personal identity problems in Philosophy</w:t>
            </w:r>
          </w:p>
          <w:p w:rsidR="00FE47E4" w:rsidRDefault="00FE47E4" w:rsidP="00147784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World Without God, including the study of Marxism</w:t>
            </w:r>
          </w:p>
          <w:p w:rsidR="00FE47E4" w:rsidRPr="00147784" w:rsidRDefault="00FE47E4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Hinduism, including the ethics of eating meat</w:t>
            </w:r>
          </w:p>
        </w:tc>
        <w:bookmarkStart w:id="0" w:name="_GoBack"/>
        <w:bookmarkEnd w:id="0"/>
      </w:tr>
    </w:tbl>
    <w:p w:rsidR="009326DB" w:rsidRDefault="009326DB" w:rsidP="009326DB">
      <w:pPr>
        <w:pStyle w:val="NoSpacing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283"/>
      </w:tblGrid>
      <w:tr w:rsidR="009326DB" w:rsidRPr="00147784" w:rsidTr="00147784">
        <w:tc>
          <w:tcPr>
            <w:tcW w:w="1242" w:type="dxa"/>
          </w:tcPr>
          <w:p w:rsidR="009326DB" w:rsidRPr="00147784" w:rsidRDefault="009326DB" w:rsidP="001477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47784">
              <w:rPr>
                <w:rFonts w:ascii="Arial" w:hAnsi="Arial" w:cs="Arial"/>
                <w:b/>
                <w:bCs/>
              </w:rPr>
              <w:t>Year 9</w:t>
            </w:r>
          </w:p>
        </w:tc>
        <w:tc>
          <w:tcPr>
            <w:tcW w:w="7283" w:type="dxa"/>
          </w:tcPr>
          <w:p w:rsidR="009326DB" w:rsidRPr="00147784" w:rsidRDefault="009326DB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Crime and Punishment, including the study of capital and corporal punishment</w:t>
            </w:r>
            <w:r w:rsidR="00C46882" w:rsidRPr="00147784">
              <w:rPr>
                <w:rFonts w:ascii="Arial" w:hAnsi="Arial" w:cs="Arial"/>
                <w:bCs/>
              </w:rPr>
              <w:t>, hate crimes and religious attitudes to forgiveness</w:t>
            </w:r>
          </w:p>
          <w:p w:rsidR="009326DB" w:rsidRDefault="009326DB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lastRenderedPageBreak/>
              <w:t>Relationships, including the study of gender and LGBT equality</w:t>
            </w:r>
            <w:r w:rsidR="00C46882" w:rsidRPr="00147784">
              <w:rPr>
                <w:rFonts w:ascii="Arial" w:hAnsi="Arial" w:cs="Arial"/>
                <w:bCs/>
              </w:rPr>
              <w:t>, and religious attitudes to marriage and divorce</w:t>
            </w:r>
          </w:p>
          <w:p w:rsidR="00FE47E4" w:rsidRPr="00147784" w:rsidRDefault="00FE47E4" w:rsidP="00147784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:rsidR="00845DCA" w:rsidRPr="009326DB" w:rsidRDefault="00845DCA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/>
        </w:rPr>
        <w:lastRenderedPageBreak/>
        <w:t>b)</w:t>
      </w:r>
      <w:r w:rsidRPr="009326DB">
        <w:rPr>
          <w:rFonts w:ascii="Arial" w:hAnsi="Arial" w:cs="Arial"/>
          <w:b/>
        </w:rPr>
        <w:tab/>
        <w:t>Key Stage 4:</w:t>
      </w:r>
    </w:p>
    <w:p w:rsidR="00147784" w:rsidRDefault="00845DCA" w:rsidP="009326DB">
      <w:pPr>
        <w:pStyle w:val="NoSpacing"/>
        <w:rPr>
          <w:rFonts w:ascii="Arial" w:hAnsi="Arial" w:cs="Arial"/>
          <w:bCs/>
        </w:rPr>
      </w:pPr>
      <w:r w:rsidRPr="009326DB">
        <w:rPr>
          <w:rFonts w:ascii="Arial" w:hAnsi="Arial" w:cs="Arial"/>
          <w:bCs/>
        </w:rPr>
        <w:br/>
      </w:r>
      <w:r w:rsidR="00C46882">
        <w:rPr>
          <w:rFonts w:ascii="Arial" w:hAnsi="Arial" w:cs="Arial"/>
          <w:bCs/>
        </w:rPr>
        <w:t xml:space="preserve">Students continue their study of the full-course AQA Religious Studies </w:t>
      </w:r>
      <w:proofErr w:type="gramStart"/>
      <w:r w:rsidR="00C46882">
        <w:rPr>
          <w:rFonts w:ascii="Arial" w:hAnsi="Arial" w:cs="Arial"/>
          <w:bCs/>
        </w:rPr>
        <w:t>A</w:t>
      </w:r>
      <w:proofErr w:type="gramEnd"/>
      <w:r w:rsidR="00C46882">
        <w:rPr>
          <w:rFonts w:ascii="Arial" w:hAnsi="Arial" w:cs="Arial"/>
          <w:bCs/>
        </w:rPr>
        <w:t xml:space="preserve"> GCSE in KS4. Students prepare for two papers: the first paper focuses on Islam and Christianity, whilst the second focuses on </w:t>
      </w:r>
      <w:r w:rsidR="00147784">
        <w:rPr>
          <w:rFonts w:ascii="Arial" w:hAnsi="Arial" w:cs="Arial"/>
          <w:bCs/>
        </w:rPr>
        <w:t xml:space="preserve">themes (relationships and families, crime and punishment, </w:t>
      </w:r>
      <w:r w:rsidR="00FE47E4">
        <w:rPr>
          <w:rFonts w:ascii="Arial" w:hAnsi="Arial" w:cs="Arial"/>
          <w:bCs/>
        </w:rPr>
        <w:t>peace and conflict</w:t>
      </w:r>
      <w:r w:rsidR="00147784">
        <w:rPr>
          <w:rFonts w:ascii="Arial" w:hAnsi="Arial" w:cs="Arial"/>
          <w:bCs/>
        </w:rPr>
        <w:t xml:space="preserve">, and life and death). Topics from Paper 1 </w:t>
      </w:r>
      <w:proofErr w:type="gramStart"/>
      <w:r w:rsidR="00147784">
        <w:rPr>
          <w:rFonts w:ascii="Arial" w:hAnsi="Arial" w:cs="Arial"/>
          <w:bCs/>
        </w:rPr>
        <w:t>are taught alongside the themes and then revised in Year 11</w:t>
      </w:r>
      <w:proofErr w:type="gramEnd"/>
      <w:r w:rsidR="00147784">
        <w:rPr>
          <w:rFonts w:ascii="Arial" w:hAnsi="Arial" w:cs="Arial"/>
          <w:bCs/>
        </w:rPr>
        <w:t xml:space="preserve">. Students are currently achieving </w:t>
      </w:r>
      <w:r w:rsidR="00FE47E4">
        <w:rPr>
          <w:rFonts w:ascii="Arial" w:hAnsi="Arial" w:cs="Arial"/>
          <w:bCs/>
        </w:rPr>
        <w:t>above</w:t>
      </w:r>
      <w:r w:rsidR="00147784">
        <w:rPr>
          <w:rFonts w:ascii="Arial" w:hAnsi="Arial" w:cs="Arial"/>
          <w:bCs/>
        </w:rPr>
        <w:t xml:space="preserve"> national averages (7</w:t>
      </w:r>
      <w:r w:rsidR="00FE47E4">
        <w:rPr>
          <w:rFonts w:ascii="Arial" w:hAnsi="Arial" w:cs="Arial"/>
          <w:bCs/>
        </w:rPr>
        <w:t>3% Grade 5+, 43% Grades 7-9 and 14% Grade 9</w:t>
      </w:r>
      <w:r w:rsidR="00147784">
        <w:rPr>
          <w:rFonts w:ascii="Arial" w:hAnsi="Arial" w:cs="Arial"/>
          <w:bCs/>
        </w:rPr>
        <w:t>).</w:t>
      </w:r>
    </w:p>
    <w:p w:rsidR="00FE47E4" w:rsidRDefault="00FE47E4" w:rsidP="009326DB">
      <w:pPr>
        <w:pStyle w:val="NoSpacing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283"/>
      </w:tblGrid>
      <w:tr w:rsidR="00147784" w:rsidRPr="00147784" w:rsidTr="00147784">
        <w:tc>
          <w:tcPr>
            <w:tcW w:w="1242" w:type="dxa"/>
          </w:tcPr>
          <w:p w:rsidR="00147784" w:rsidRPr="00147784" w:rsidRDefault="00147784" w:rsidP="001477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47784">
              <w:rPr>
                <w:rFonts w:ascii="Arial" w:hAnsi="Arial" w:cs="Arial"/>
                <w:b/>
                <w:bCs/>
              </w:rPr>
              <w:t>Year 10</w:t>
            </w:r>
          </w:p>
        </w:tc>
        <w:tc>
          <w:tcPr>
            <w:tcW w:w="7283" w:type="dxa"/>
          </w:tcPr>
          <w:p w:rsidR="00147784" w:rsidRPr="00147784" w:rsidRDefault="00147784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Religion and life, including the study of life after death, abortion and euthanasia</w:t>
            </w:r>
          </w:p>
          <w:p w:rsidR="00147784" w:rsidRPr="00147784" w:rsidRDefault="00FE47E4" w:rsidP="00147784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Peace and Conflict, including the study of causes of conflict and Just War theory</w:t>
            </w:r>
          </w:p>
        </w:tc>
      </w:tr>
    </w:tbl>
    <w:p w:rsidR="00147784" w:rsidRPr="009326DB" w:rsidRDefault="00147784" w:rsidP="009326DB">
      <w:pPr>
        <w:pStyle w:val="NoSpacing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283"/>
      </w:tblGrid>
      <w:tr w:rsidR="00147784" w:rsidRPr="00147784" w:rsidTr="00147784">
        <w:tc>
          <w:tcPr>
            <w:tcW w:w="1242" w:type="dxa"/>
          </w:tcPr>
          <w:p w:rsidR="00147784" w:rsidRPr="00147784" w:rsidRDefault="00147784" w:rsidP="0014778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47784">
              <w:rPr>
                <w:rFonts w:ascii="Arial" w:hAnsi="Arial" w:cs="Arial"/>
                <w:b/>
                <w:bCs/>
              </w:rPr>
              <w:t>Year 11</w:t>
            </w:r>
          </w:p>
        </w:tc>
        <w:tc>
          <w:tcPr>
            <w:tcW w:w="7283" w:type="dxa"/>
          </w:tcPr>
          <w:p w:rsidR="00147784" w:rsidRPr="00147784" w:rsidRDefault="00147784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Christianity, including the study of the Resurrection and the Trinity</w:t>
            </w:r>
          </w:p>
          <w:p w:rsidR="00147784" w:rsidRPr="00147784" w:rsidRDefault="00147784" w:rsidP="00147784">
            <w:pPr>
              <w:pStyle w:val="NoSpacing"/>
              <w:rPr>
                <w:rFonts w:ascii="Arial" w:hAnsi="Arial" w:cs="Arial"/>
                <w:bCs/>
              </w:rPr>
            </w:pPr>
            <w:r w:rsidRPr="00147784">
              <w:rPr>
                <w:rFonts w:ascii="Arial" w:hAnsi="Arial" w:cs="Arial"/>
                <w:bCs/>
              </w:rPr>
              <w:t>Islam, including the study of the 5 Pillars</w:t>
            </w:r>
          </w:p>
        </w:tc>
      </w:tr>
    </w:tbl>
    <w:p w:rsidR="00C46882" w:rsidRDefault="00C46882" w:rsidP="009326DB">
      <w:pPr>
        <w:pStyle w:val="NoSpacing"/>
        <w:rPr>
          <w:rFonts w:ascii="Arial" w:hAnsi="Arial" w:cs="Arial"/>
          <w:bCs/>
        </w:rPr>
      </w:pPr>
    </w:p>
    <w:p w:rsidR="00845DCA" w:rsidRDefault="00845DCA" w:rsidP="009326DB">
      <w:pPr>
        <w:pStyle w:val="NoSpacing"/>
        <w:rPr>
          <w:rFonts w:ascii="Arial" w:hAnsi="Arial" w:cs="Arial"/>
          <w:b/>
        </w:rPr>
      </w:pPr>
      <w:r w:rsidRPr="009326DB">
        <w:rPr>
          <w:rFonts w:ascii="Arial" w:hAnsi="Arial" w:cs="Arial"/>
          <w:b/>
        </w:rPr>
        <w:t>c)</w:t>
      </w:r>
      <w:r w:rsidRPr="009326DB">
        <w:rPr>
          <w:rFonts w:ascii="Arial" w:hAnsi="Arial" w:cs="Arial"/>
          <w:b/>
        </w:rPr>
        <w:tab/>
        <w:t>16-19</w:t>
      </w:r>
    </w:p>
    <w:p w:rsidR="00147784" w:rsidRPr="009326DB" w:rsidRDefault="00147784" w:rsidP="009326DB">
      <w:pPr>
        <w:pStyle w:val="NoSpacing"/>
        <w:rPr>
          <w:rFonts w:ascii="Arial" w:hAnsi="Arial" w:cs="Arial"/>
          <w:b/>
        </w:rPr>
      </w:pPr>
    </w:p>
    <w:p w:rsidR="00845DCA" w:rsidRDefault="00147784" w:rsidP="009326D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Students can opt to take OCR Religious Studies at A-Level where they study three units: Philosophy, Ethics, and Developments in Christian Thought. All students take the AS exam at the end of Year 1 and many continue to take the A2 exam at the end of Year 2. Last year, 44% of students achieved Grade A*-B at AS and 40% achieved Grade A*-B at A2 with 100% passing the exam.</w:t>
      </w:r>
    </w:p>
    <w:p w:rsidR="00147784" w:rsidRDefault="00147784" w:rsidP="009326DB">
      <w:pPr>
        <w:pStyle w:val="NoSpacing"/>
        <w:rPr>
          <w:rFonts w:ascii="Arial" w:hAnsi="Arial" w:cs="Arial"/>
          <w:bCs/>
        </w:rPr>
      </w:pPr>
    </w:p>
    <w:p w:rsidR="00147784" w:rsidRPr="009326DB" w:rsidRDefault="00147784" w:rsidP="009326DB">
      <w:pPr>
        <w:pStyle w:val="NoSpacing"/>
        <w:rPr>
          <w:rFonts w:ascii="Arial" w:hAnsi="Arial" w:cs="Arial"/>
          <w:bCs/>
          <w:sz w:val="28"/>
        </w:rPr>
      </w:pPr>
    </w:p>
    <w:sectPr w:rsidR="00147784" w:rsidRPr="009326DB">
      <w:footerReference w:type="default" r:id="rId8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A4" w:rsidRDefault="00C16EA4" w:rsidP="00C16EA4">
      <w:r>
        <w:separator/>
      </w:r>
    </w:p>
  </w:endnote>
  <w:endnote w:type="continuationSeparator" w:id="0">
    <w:p w:rsidR="00C16EA4" w:rsidRDefault="00C16EA4" w:rsidP="00C1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A4" w:rsidRDefault="00C16EA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3074" type="#_x0000_t75" style="position:absolute;margin-left:236.9pt;margin-top:-19.35pt;width:73.95pt;height:49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5891 1934 3709 2579 218 5803 -218 9349 -218 14185 655 18054 3927 21278 4582 21278 21600 21278 21600 14507 19855 13540 12873 12251 13745 12251 13745 9994 13309 5803 9600 2579 6982 1934 5891 1934">
          <v:imagedata r:id="rId1" o:title=""/>
          <w10:wrap type="tight"/>
        </v:shape>
      </w:pict>
    </w:r>
    <w:r>
      <w:rPr>
        <w:noProof/>
      </w:rPr>
      <w:pict>
        <v:shape id="Picture 7" o:spid="_x0000_s3073" type="#_x0000_t75" style="position:absolute;margin-left:310.85pt;margin-top:-15.35pt;width:105.55pt;height:45.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3677 354 2757 708 306 4957 -153 10977 -153 12393 766 17351 3064 20892 3523 20892 6434 20892 6894 20892 9038 18059 14247 17351 21600 14164 21600 10269 20221 5311 6434 354 3677 354">
          <v:imagedata r:id="rId2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A4" w:rsidRDefault="00C16EA4" w:rsidP="00C16EA4">
      <w:r>
        <w:separator/>
      </w:r>
    </w:p>
  </w:footnote>
  <w:footnote w:type="continuationSeparator" w:id="0">
    <w:p w:rsidR="00C16EA4" w:rsidRDefault="00C16EA4" w:rsidP="00C1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623"/>
    <w:multiLevelType w:val="hybridMultilevel"/>
    <w:tmpl w:val="36EEC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39A"/>
    <w:multiLevelType w:val="singleLevel"/>
    <w:tmpl w:val="F4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96047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2A091C"/>
    <w:multiLevelType w:val="singleLevel"/>
    <w:tmpl w:val="F4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4D515A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2697236"/>
    <w:multiLevelType w:val="hybridMultilevel"/>
    <w:tmpl w:val="B86C9E7E"/>
    <w:lvl w:ilvl="0" w:tplc="EA2C1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CE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81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4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EE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2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E4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23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110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B83554"/>
    <w:multiLevelType w:val="singleLevel"/>
    <w:tmpl w:val="198ECAE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37D07DF"/>
    <w:multiLevelType w:val="singleLevel"/>
    <w:tmpl w:val="2C66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51B18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2E66E2"/>
    <w:multiLevelType w:val="hybridMultilevel"/>
    <w:tmpl w:val="6ED68C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5672A9"/>
    <w:multiLevelType w:val="hybridMultilevel"/>
    <w:tmpl w:val="0C0095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565"/>
    <w:rsid w:val="00071C1C"/>
    <w:rsid w:val="00147784"/>
    <w:rsid w:val="00156565"/>
    <w:rsid w:val="00224539"/>
    <w:rsid w:val="00623E71"/>
    <w:rsid w:val="00845DCA"/>
    <w:rsid w:val="009326DB"/>
    <w:rsid w:val="00C16EA4"/>
    <w:rsid w:val="00C46882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chartTrackingRefBased/>
  <w15:docId w15:val="{9C2D87B3-66CD-49FB-872E-197EFBE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283" w:hanging="283"/>
    </w:pPr>
  </w:style>
  <w:style w:type="paragraph" w:styleId="ListBullet2">
    <w:name w:val="List Bullet 2"/>
    <w:basedOn w:val="Normal"/>
    <w:semiHidden/>
    <w:pPr>
      <w:ind w:left="566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ind w:left="2160" w:hanging="720"/>
      <w:jc w:val="both"/>
    </w:pPr>
  </w:style>
  <w:style w:type="paragraph" w:styleId="BodyTextIndent3">
    <w:name w:val="Body Text Indent 3"/>
    <w:basedOn w:val="Normal"/>
    <w:semiHidden/>
    <w:pPr>
      <w:ind w:left="1440" w:hanging="720"/>
    </w:pPr>
    <w:rPr>
      <w:rFonts w:ascii="Comic Sans MS" w:hAnsi="Comic Sans MS"/>
    </w:rPr>
  </w:style>
  <w:style w:type="paragraph" w:styleId="NoSpacing">
    <w:name w:val="No Spacing"/>
    <w:uiPriority w:val="1"/>
    <w:qFormat/>
    <w:rsid w:val="009326DB"/>
    <w:rPr>
      <w:sz w:val="24"/>
      <w:lang w:eastAsia="en-US"/>
    </w:rPr>
  </w:style>
  <w:style w:type="table" w:styleId="TableGrid">
    <w:name w:val="Table Grid"/>
    <w:basedOn w:val="TableNormal"/>
    <w:uiPriority w:val="59"/>
    <w:rsid w:val="0093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E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EA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6E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EA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48144-3BC4-4013-9B91-B6999147DA25}"/>
</file>

<file path=customXml/itemProps2.xml><?xml version="1.0" encoding="utf-8"?>
<ds:datastoreItem xmlns:ds="http://schemas.openxmlformats.org/officeDocument/2006/customXml" ds:itemID="{01AE2B03-99D6-46C1-8838-500D9AF78E05}"/>
</file>

<file path=customXml/itemProps3.xml><?xml version="1.0" encoding="utf-8"?>
<ds:datastoreItem xmlns:ds="http://schemas.openxmlformats.org/officeDocument/2006/customXml" ds:itemID="{EDB42CEB-B2A0-41D6-8FEE-B327E4B4B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HISTORY DEPARTMENT</vt:lpstr>
    </vt:vector>
  </TitlesOfParts>
  <Company>London Borough of Wandsworth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DEPARTMENT</dc:title>
  <dc:subject/>
  <dc:creator>Chestnut Grove School</dc:creator>
  <cp:keywords/>
  <cp:lastModifiedBy>Sheila Payen</cp:lastModifiedBy>
  <cp:revision>3</cp:revision>
  <cp:lastPrinted>2005-05-12T08:06:00Z</cp:lastPrinted>
  <dcterms:created xsi:type="dcterms:W3CDTF">2020-02-12T15:54:00Z</dcterms:created>
  <dcterms:modified xsi:type="dcterms:W3CDTF">2020-02-14T10:24:00Z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