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F886" w14:textId="783B0611" w:rsidR="00BA71AC" w:rsidRDefault="00BA71AC" w:rsidP="00BA71AC"/>
    <w:p w14:paraId="5B54A6E0" w14:textId="77777777" w:rsidR="00BA71AC" w:rsidRPr="00C8025F" w:rsidRDefault="00BA71AC" w:rsidP="00BA71AC">
      <w:pPr>
        <w:autoSpaceDE w:val="0"/>
        <w:autoSpaceDN w:val="0"/>
        <w:adjustRightInd w:val="0"/>
        <w:spacing w:line="240" w:lineRule="auto"/>
        <w:contextualSpacing/>
        <w:jc w:val="center"/>
        <w:rPr>
          <w:rFonts w:ascii="Calibri" w:eastAsia="Times New Roman" w:hAnsi="Calibri" w:cs="Calibri"/>
          <w:b/>
          <w:bCs/>
          <w:sz w:val="36"/>
          <w:szCs w:val="36"/>
          <w:lang w:eastAsia="en-GB"/>
        </w:rPr>
      </w:pPr>
      <w:r w:rsidRPr="00C8025F">
        <w:rPr>
          <w:rFonts w:ascii="Calibri" w:eastAsia="Times New Roman" w:hAnsi="Calibri" w:cs="Calibri"/>
          <w:b/>
          <w:bCs/>
          <w:sz w:val="36"/>
          <w:szCs w:val="36"/>
          <w:lang w:eastAsia="en-GB"/>
        </w:rPr>
        <w:t>Job Profile comprising Job Description and Person Specification</w:t>
      </w:r>
    </w:p>
    <w:p w14:paraId="5992B70A" w14:textId="77777777" w:rsidR="00BA71AC" w:rsidRDefault="00BA71AC" w:rsidP="00BA71AC">
      <w:pPr>
        <w:autoSpaceDE w:val="0"/>
        <w:autoSpaceDN w:val="0"/>
        <w:adjustRightInd w:val="0"/>
        <w:spacing w:after="0" w:line="240" w:lineRule="auto"/>
        <w:contextualSpacing/>
        <w:rPr>
          <w:rFonts w:ascii="Calibri" w:eastAsia="Times New Roman" w:hAnsi="Calibri" w:cs="Calibri"/>
          <w:b/>
          <w:bCs/>
          <w:sz w:val="36"/>
          <w:szCs w:val="36"/>
          <w:lang w:eastAsia="en-GB"/>
        </w:rPr>
      </w:pPr>
      <w:r w:rsidRPr="00C8025F">
        <w:rPr>
          <w:rFonts w:ascii="Calibri" w:eastAsia="Times New Roman" w:hAnsi="Calibri" w:cs="Calibri"/>
          <w:b/>
          <w:bCs/>
          <w:sz w:val="36"/>
          <w:szCs w:val="36"/>
          <w:lang w:eastAsia="en-GB"/>
        </w:rPr>
        <w:t>Job Description</w:t>
      </w:r>
    </w:p>
    <w:p w14:paraId="6C84E866" w14:textId="4CCCD31A" w:rsidR="00BA71AC" w:rsidRPr="00C8025F" w:rsidRDefault="00BA71AC" w:rsidP="00BA71AC">
      <w:pPr>
        <w:autoSpaceDE w:val="0"/>
        <w:autoSpaceDN w:val="0"/>
        <w:adjustRightInd w:val="0"/>
        <w:spacing w:after="0" w:line="240" w:lineRule="auto"/>
        <w:contextualSpacing/>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A71AC" w:rsidRPr="00C8025F" w14:paraId="3DDD0A36" w14:textId="77777777" w:rsidTr="0072212B">
        <w:trPr>
          <w:trHeight w:val="828"/>
        </w:trPr>
        <w:tc>
          <w:tcPr>
            <w:tcW w:w="4261" w:type="dxa"/>
            <w:shd w:val="clear" w:color="auto" w:fill="D9D9D9" w:themeFill="background1" w:themeFillShade="D9"/>
          </w:tcPr>
          <w:p w14:paraId="41D4953A" w14:textId="77777777" w:rsidR="00BA71AC" w:rsidRPr="00C8025F" w:rsidRDefault="00BA71AC" w:rsidP="0072212B">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 xml:space="preserve">Job Title: </w:t>
            </w:r>
          </w:p>
          <w:p w14:paraId="136DBBCC" w14:textId="26E348F7" w:rsidR="00BA71AC" w:rsidRPr="00C8025F" w:rsidRDefault="006F0C09" w:rsidP="0072212B">
            <w:pPr>
              <w:autoSpaceDE w:val="0"/>
              <w:autoSpaceDN w:val="0"/>
              <w:adjustRightInd w:val="0"/>
              <w:spacing w:after="0" w:line="240" w:lineRule="auto"/>
              <w:contextualSpacing/>
              <w:rPr>
                <w:rFonts w:ascii="Calibri" w:eastAsia="Times New Roman" w:hAnsi="Calibri" w:cs="Calibri"/>
                <w:sz w:val="24"/>
                <w:szCs w:val="24"/>
                <w:lang w:eastAsia="en-GB"/>
              </w:rPr>
            </w:pPr>
            <w:proofErr w:type="gramStart"/>
            <w:r>
              <w:rPr>
                <w:rFonts w:ascii="Calibri" w:eastAsia="Times New Roman" w:hAnsi="Calibri" w:cs="Calibri"/>
                <w:sz w:val="24"/>
                <w:szCs w:val="24"/>
                <w:lang w:eastAsia="en-GB"/>
              </w:rPr>
              <w:t>South West</w:t>
            </w:r>
            <w:proofErr w:type="gramEnd"/>
            <w:r>
              <w:rPr>
                <w:rFonts w:ascii="Calibri" w:eastAsia="Times New Roman" w:hAnsi="Calibri" w:cs="Calibri"/>
                <w:sz w:val="24"/>
                <w:szCs w:val="24"/>
                <w:lang w:eastAsia="en-GB"/>
              </w:rPr>
              <w:t xml:space="preserve"> London </w:t>
            </w:r>
            <w:r w:rsidR="00BA71AC">
              <w:rPr>
                <w:rFonts w:ascii="Calibri" w:eastAsia="Times New Roman" w:hAnsi="Calibri" w:cs="Calibri"/>
                <w:sz w:val="24"/>
                <w:szCs w:val="24"/>
                <w:lang w:eastAsia="en-GB"/>
              </w:rPr>
              <w:t xml:space="preserve">Public Health Consultant – </w:t>
            </w:r>
            <w:r w:rsidR="004A6D45">
              <w:rPr>
                <w:rFonts w:ascii="Calibri" w:eastAsia="Times New Roman" w:hAnsi="Calibri" w:cs="Calibri"/>
                <w:sz w:val="24"/>
                <w:szCs w:val="24"/>
                <w:lang w:eastAsia="en-GB"/>
              </w:rPr>
              <w:t>Health Inequalities</w:t>
            </w:r>
            <w:r w:rsidR="00BA71AC">
              <w:rPr>
                <w:rFonts w:ascii="Calibri" w:eastAsia="Times New Roman" w:hAnsi="Calibri" w:cs="Calibri"/>
                <w:sz w:val="24"/>
                <w:szCs w:val="24"/>
                <w:lang w:eastAsia="en-GB"/>
              </w:rPr>
              <w:t xml:space="preserve"> </w:t>
            </w:r>
          </w:p>
        </w:tc>
        <w:tc>
          <w:tcPr>
            <w:tcW w:w="4494" w:type="dxa"/>
            <w:shd w:val="clear" w:color="auto" w:fill="D9D9D9" w:themeFill="background1" w:themeFillShade="D9"/>
          </w:tcPr>
          <w:p w14:paraId="73CA3FE5" w14:textId="77777777" w:rsidR="00BA71AC" w:rsidRPr="00C8025F" w:rsidRDefault="00BA71AC" w:rsidP="0072212B">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
                <w:bCs/>
                <w:sz w:val="24"/>
                <w:szCs w:val="24"/>
                <w:lang w:eastAsia="en-GB"/>
              </w:rPr>
              <w:t>Grade</w:t>
            </w:r>
            <w:r w:rsidRPr="00C8025F">
              <w:rPr>
                <w:rFonts w:ascii="Calibri" w:eastAsia="Times New Roman" w:hAnsi="Calibri" w:cs="Calibri"/>
                <w:bCs/>
                <w:sz w:val="24"/>
                <w:szCs w:val="24"/>
                <w:lang w:eastAsia="en-GB"/>
              </w:rPr>
              <w:t xml:space="preserve">: </w:t>
            </w:r>
          </w:p>
          <w:p w14:paraId="786D532B" w14:textId="77777777" w:rsidR="006F0C09" w:rsidRDefault="006F0C09" w:rsidP="0072212B">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SSA – MG4</w:t>
            </w:r>
          </w:p>
          <w:p w14:paraId="31023CA3" w14:textId="062E21E5" w:rsidR="00BA71AC" w:rsidRPr="00C8025F" w:rsidRDefault="006F0C09" w:rsidP="0072212B">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£87,</w:t>
            </w:r>
            <w:r w:rsidR="00BA71AC">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819 - £103,982</w:t>
            </w:r>
          </w:p>
        </w:tc>
      </w:tr>
      <w:tr w:rsidR="00BA71AC" w:rsidRPr="00C8025F" w14:paraId="289AB263" w14:textId="77777777" w:rsidTr="0072212B">
        <w:trPr>
          <w:trHeight w:val="828"/>
        </w:trPr>
        <w:tc>
          <w:tcPr>
            <w:tcW w:w="4261" w:type="dxa"/>
            <w:shd w:val="clear" w:color="auto" w:fill="D9D9D9" w:themeFill="background1" w:themeFillShade="D9"/>
          </w:tcPr>
          <w:p w14:paraId="63DDA104" w14:textId="6EB98C11" w:rsidR="00BA71AC" w:rsidRDefault="00BA71AC" w:rsidP="0072212B">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Status</w:t>
            </w:r>
          </w:p>
          <w:p w14:paraId="41179934" w14:textId="07EEEA60" w:rsidR="00B74FC8" w:rsidRDefault="00B74FC8" w:rsidP="0072212B">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Secondment or </w:t>
            </w:r>
            <w:r w:rsidR="00F95773">
              <w:rPr>
                <w:rFonts w:ascii="Calibri" w:eastAsia="Times New Roman" w:hAnsi="Calibri" w:cs="Calibri"/>
                <w:sz w:val="24"/>
                <w:szCs w:val="24"/>
                <w:lang w:eastAsia="en-GB"/>
              </w:rPr>
              <w:t>Fixed Term</w:t>
            </w:r>
            <w:r w:rsidR="000B5644">
              <w:rPr>
                <w:rFonts w:ascii="Calibri" w:eastAsia="Times New Roman" w:hAnsi="Calibri" w:cs="Calibri"/>
                <w:sz w:val="24"/>
                <w:szCs w:val="24"/>
                <w:lang w:eastAsia="en-GB"/>
              </w:rPr>
              <w:t xml:space="preserve"> </w:t>
            </w:r>
            <w:r w:rsidR="00993A95">
              <w:rPr>
                <w:rFonts w:ascii="Calibri" w:eastAsia="Times New Roman" w:hAnsi="Calibri" w:cs="Calibri"/>
                <w:sz w:val="24"/>
                <w:szCs w:val="24"/>
                <w:lang w:eastAsia="en-GB"/>
              </w:rPr>
              <w:t>–</w:t>
            </w:r>
            <w:r w:rsidR="00637801">
              <w:rPr>
                <w:rFonts w:ascii="Calibri" w:eastAsia="Times New Roman" w:hAnsi="Calibri" w:cs="Calibri"/>
                <w:b/>
                <w:bCs/>
                <w:sz w:val="24"/>
                <w:szCs w:val="24"/>
                <w:lang w:eastAsia="en-GB"/>
              </w:rPr>
              <w:t xml:space="preserve"> </w:t>
            </w:r>
            <w:r w:rsidR="00146F4A">
              <w:rPr>
                <w:rFonts w:ascii="Calibri" w:eastAsia="Times New Roman" w:hAnsi="Calibri" w:cs="Calibri"/>
                <w:sz w:val="24"/>
                <w:szCs w:val="24"/>
                <w:lang w:eastAsia="en-GB"/>
              </w:rPr>
              <w:t>12</w:t>
            </w:r>
            <w:r w:rsidR="00993A95">
              <w:rPr>
                <w:rFonts w:ascii="Calibri" w:eastAsia="Times New Roman" w:hAnsi="Calibri" w:cs="Calibri"/>
                <w:sz w:val="24"/>
                <w:szCs w:val="24"/>
                <w:lang w:eastAsia="en-GB"/>
              </w:rPr>
              <w:t xml:space="preserve"> months in first</w:t>
            </w:r>
            <w:r w:rsidR="00004152">
              <w:rPr>
                <w:rFonts w:ascii="Calibri" w:eastAsia="Times New Roman" w:hAnsi="Calibri" w:cs="Calibri"/>
                <w:sz w:val="24"/>
                <w:szCs w:val="24"/>
                <w:lang w:eastAsia="en-GB"/>
              </w:rPr>
              <w:t xml:space="preserve"> instance</w:t>
            </w:r>
          </w:p>
          <w:p w14:paraId="19BE92F3" w14:textId="16194DBF" w:rsidR="00BA71AC" w:rsidRPr="00637801" w:rsidRDefault="00B74FC8" w:rsidP="0072212B">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 </w:t>
            </w:r>
            <w:r w:rsidR="00004152">
              <w:rPr>
                <w:rFonts w:ascii="Calibri" w:eastAsia="Times New Roman" w:hAnsi="Calibri" w:cs="Calibri"/>
                <w:sz w:val="24"/>
                <w:szCs w:val="24"/>
                <w:lang w:eastAsia="en-GB"/>
              </w:rPr>
              <w:t xml:space="preserve"> </w:t>
            </w:r>
          </w:p>
        </w:tc>
        <w:tc>
          <w:tcPr>
            <w:tcW w:w="4494" w:type="dxa"/>
            <w:shd w:val="clear" w:color="auto" w:fill="D9D9D9" w:themeFill="background1" w:themeFillShade="D9"/>
          </w:tcPr>
          <w:p w14:paraId="3F183996" w14:textId="77777777" w:rsidR="00BA71AC" w:rsidRPr="00C8025F" w:rsidRDefault="00BA71AC" w:rsidP="0072212B">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
                <w:bCs/>
                <w:sz w:val="24"/>
                <w:szCs w:val="24"/>
                <w:lang w:eastAsia="en-GB"/>
              </w:rPr>
              <w:t>Directorate:</w:t>
            </w:r>
            <w:r w:rsidRPr="00C8025F">
              <w:rPr>
                <w:rFonts w:ascii="Calibri" w:eastAsia="Times New Roman" w:hAnsi="Calibri" w:cs="Calibri"/>
                <w:bCs/>
                <w:sz w:val="24"/>
                <w:szCs w:val="24"/>
                <w:lang w:eastAsia="en-GB"/>
              </w:rPr>
              <w:t xml:space="preserve"> </w:t>
            </w:r>
          </w:p>
          <w:p w14:paraId="1F660A02" w14:textId="38390BBE" w:rsidR="00BA71AC" w:rsidRPr="00C8025F" w:rsidRDefault="00BA71AC" w:rsidP="0072212B">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South London Partnership/Chief Executives </w:t>
            </w:r>
          </w:p>
        </w:tc>
      </w:tr>
      <w:tr w:rsidR="00BA71AC" w:rsidRPr="00C8025F" w14:paraId="553D40AF" w14:textId="77777777" w:rsidTr="0072212B">
        <w:trPr>
          <w:trHeight w:val="828"/>
        </w:trPr>
        <w:tc>
          <w:tcPr>
            <w:tcW w:w="4261" w:type="dxa"/>
            <w:shd w:val="clear" w:color="auto" w:fill="D9D9D9" w:themeFill="background1" w:themeFillShade="D9"/>
          </w:tcPr>
          <w:p w14:paraId="51BA5AA1" w14:textId="59DC505B" w:rsidR="00BA71AC" w:rsidRDefault="00BA71AC" w:rsidP="0072212B">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Reporting to:</w:t>
            </w:r>
          </w:p>
          <w:p w14:paraId="74038614" w14:textId="1ADCEA82" w:rsidR="00004152" w:rsidRPr="00004152" w:rsidRDefault="00004152" w:rsidP="0072212B">
            <w:pPr>
              <w:autoSpaceDE w:val="0"/>
              <w:autoSpaceDN w:val="0"/>
              <w:adjustRightInd w:val="0"/>
              <w:spacing w:after="0" w:line="240" w:lineRule="auto"/>
              <w:contextualSpacing/>
              <w:rPr>
                <w:rFonts w:ascii="Calibri" w:eastAsia="Times New Roman" w:hAnsi="Calibri" w:cs="Calibri"/>
                <w:sz w:val="24"/>
                <w:szCs w:val="24"/>
                <w:lang w:eastAsia="en-GB"/>
              </w:rPr>
            </w:pPr>
            <w:r w:rsidRPr="00004152">
              <w:rPr>
                <w:rFonts w:ascii="Calibri" w:eastAsia="Times New Roman" w:hAnsi="Calibri" w:cs="Calibri"/>
                <w:sz w:val="24"/>
                <w:szCs w:val="24"/>
                <w:lang w:eastAsia="en-GB"/>
              </w:rPr>
              <w:t>Sam Mason – SLP Health and Care Lead</w:t>
            </w:r>
          </w:p>
          <w:p w14:paraId="281D4B14" w14:textId="49C3B439" w:rsidR="00004152" w:rsidRDefault="00993A95" w:rsidP="0072212B">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Dagmar Zeuner – DPH LB Merton</w:t>
            </w:r>
          </w:p>
          <w:p w14:paraId="73E5D608" w14:textId="1B209D33" w:rsidR="00993A95" w:rsidRPr="00004152" w:rsidRDefault="00993A95" w:rsidP="0072212B">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Iona Lidington – DPH RB Kingston</w:t>
            </w:r>
          </w:p>
          <w:p w14:paraId="592AB269" w14:textId="77777777" w:rsidR="00BA71AC" w:rsidRPr="00C8025F" w:rsidRDefault="00BA71AC" w:rsidP="0072212B">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shd w:val="clear" w:color="auto" w:fill="D9D9D9" w:themeFill="background1" w:themeFillShade="D9"/>
          </w:tcPr>
          <w:p w14:paraId="560B5EDA" w14:textId="77777777" w:rsidR="00BA71AC" w:rsidRPr="00C8025F" w:rsidRDefault="00BA71AC" w:rsidP="0072212B">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Responsible for following staff:</w:t>
            </w:r>
          </w:p>
          <w:p w14:paraId="74B4D410" w14:textId="2CFF69B4" w:rsidR="00BA71AC" w:rsidRDefault="00EC365F" w:rsidP="0072212B">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1 x FTE Health Inequalities Analyst</w:t>
            </w:r>
            <w:r w:rsidR="000B5644">
              <w:rPr>
                <w:rFonts w:ascii="Calibri" w:eastAsia="Times New Roman" w:hAnsi="Calibri" w:cs="Calibri"/>
                <w:bCs/>
                <w:sz w:val="24"/>
                <w:szCs w:val="24"/>
                <w:lang w:eastAsia="en-GB"/>
              </w:rPr>
              <w:t xml:space="preserve"> / Project Manager </w:t>
            </w:r>
            <w:r w:rsidR="00243234">
              <w:rPr>
                <w:rFonts w:ascii="Calibri" w:eastAsia="Times New Roman" w:hAnsi="Calibri" w:cs="Calibri"/>
                <w:bCs/>
                <w:sz w:val="24"/>
                <w:szCs w:val="24"/>
                <w:lang w:eastAsia="en-GB"/>
              </w:rPr>
              <w:t>(to be recruited)</w:t>
            </w:r>
          </w:p>
          <w:p w14:paraId="0D42C2F1" w14:textId="6E1E98E4" w:rsidR="00FA1AF1" w:rsidRPr="00C8025F" w:rsidRDefault="00FA1AF1" w:rsidP="0072212B">
            <w:pPr>
              <w:autoSpaceDE w:val="0"/>
              <w:autoSpaceDN w:val="0"/>
              <w:adjustRightInd w:val="0"/>
              <w:spacing w:after="0" w:line="240" w:lineRule="auto"/>
              <w:contextualSpacing/>
              <w:rPr>
                <w:rFonts w:ascii="Calibri" w:eastAsia="Times New Roman" w:hAnsi="Calibri" w:cs="Calibri"/>
                <w:bCs/>
                <w:sz w:val="24"/>
                <w:szCs w:val="24"/>
                <w:lang w:eastAsia="en-GB"/>
              </w:rPr>
            </w:pPr>
          </w:p>
        </w:tc>
      </w:tr>
      <w:tr w:rsidR="00BA71AC" w:rsidRPr="00C8025F" w14:paraId="08D57D66" w14:textId="77777777" w:rsidTr="0072212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76F10" w14:textId="6492E4A7" w:rsidR="00BA71AC" w:rsidRPr="00C8025F" w:rsidRDefault="00BA71AC" w:rsidP="0072212B">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Post Numbers:</w:t>
            </w:r>
          </w:p>
          <w:p w14:paraId="2E9C8B76" w14:textId="42D2E3EB" w:rsidR="00BA71AC" w:rsidRPr="00C8025F" w:rsidRDefault="00D1346A" w:rsidP="0072212B">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n/a</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38E44" w14:textId="77777777" w:rsidR="00BA71AC" w:rsidRDefault="00BA71AC" w:rsidP="0072212B">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Date:</w:t>
            </w:r>
          </w:p>
          <w:p w14:paraId="5A3A477D" w14:textId="4913F7BB" w:rsidR="00BA71AC" w:rsidRPr="00637801" w:rsidRDefault="009779EC" w:rsidP="0072212B">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March 2022</w:t>
            </w:r>
          </w:p>
        </w:tc>
      </w:tr>
      <w:tr w:rsidR="00BA71AC" w:rsidRPr="00C8025F" w14:paraId="6E2B4697" w14:textId="77777777" w:rsidTr="0072212B">
        <w:trPr>
          <w:trHeight w:val="1118"/>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8769E" w14:textId="6ADED19C" w:rsidR="00A15772" w:rsidRPr="00C513FD" w:rsidRDefault="00BA71AC" w:rsidP="0072212B">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Location: Flexible.   </w:t>
            </w:r>
            <w:r w:rsidR="00C513FD">
              <w:rPr>
                <w:rFonts w:ascii="Calibri" w:eastAsia="Times New Roman" w:hAnsi="Calibri" w:cs="Calibri"/>
                <w:sz w:val="24"/>
                <w:szCs w:val="24"/>
                <w:lang w:eastAsia="en-GB"/>
              </w:rPr>
              <w:t xml:space="preserve">This role will be </w:t>
            </w:r>
            <w:r w:rsidR="005F13AC">
              <w:rPr>
                <w:rFonts w:ascii="Calibri" w:eastAsia="Times New Roman" w:hAnsi="Calibri" w:cs="Calibri"/>
                <w:sz w:val="24"/>
                <w:szCs w:val="24"/>
                <w:lang w:eastAsia="en-GB"/>
              </w:rPr>
              <w:t>a mix of</w:t>
            </w:r>
            <w:r w:rsidR="00C513FD">
              <w:rPr>
                <w:rFonts w:ascii="Calibri" w:eastAsia="Times New Roman" w:hAnsi="Calibri" w:cs="Calibri"/>
                <w:sz w:val="24"/>
                <w:szCs w:val="24"/>
                <w:lang w:eastAsia="en-GB"/>
              </w:rPr>
              <w:t xml:space="preserve"> home</w:t>
            </w:r>
            <w:r w:rsidR="005F13AC">
              <w:rPr>
                <w:rFonts w:ascii="Calibri" w:eastAsia="Times New Roman" w:hAnsi="Calibri" w:cs="Calibri"/>
                <w:sz w:val="24"/>
                <w:szCs w:val="24"/>
                <w:lang w:eastAsia="en-GB"/>
              </w:rPr>
              <w:t xml:space="preserve"> and </w:t>
            </w:r>
            <w:proofErr w:type="gramStart"/>
            <w:r w:rsidR="005F13AC">
              <w:rPr>
                <w:rFonts w:ascii="Calibri" w:eastAsia="Times New Roman" w:hAnsi="Calibri" w:cs="Calibri"/>
                <w:sz w:val="24"/>
                <w:szCs w:val="24"/>
                <w:lang w:eastAsia="en-GB"/>
              </w:rPr>
              <w:t>office based</w:t>
            </w:r>
            <w:proofErr w:type="gramEnd"/>
            <w:r w:rsidR="005F13AC">
              <w:rPr>
                <w:rFonts w:ascii="Calibri" w:eastAsia="Times New Roman" w:hAnsi="Calibri" w:cs="Calibri"/>
                <w:sz w:val="24"/>
                <w:szCs w:val="24"/>
                <w:lang w:eastAsia="en-GB"/>
              </w:rPr>
              <w:t xml:space="preserve"> working</w:t>
            </w:r>
            <w:r w:rsidR="00C513FD">
              <w:rPr>
                <w:rFonts w:ascii="Calibri" w:eastAsia="Times New Roman" w:hAnsi="Calibri" w:cs="Calibri"/>
                <w:sz w:val="24"/>
                <w:szCs w:val="24"/>
                <w:lang w:eastAsia="en-GB"/>
              </w:rPr>
              <w:t xml:space="preserve">.  </w:t>
            </w:r>
            <w:r w:rsidR="00073DA4">
              <w:rPr>
                <w:rFonts w:ascii="Calibri" w:eastAsia="Times New Roman" w:hAnsi="Calibri" w:cs="Calibri"/>
                <w:sz w:val="24"/>
                <w:szCs w:val="24"/>
                <w:lang w:eastAsia="en-GB"/>
              </w:rPr>
              <w:t xml:space="preserve">The </w:t>
            </w:r>
            <w:r w:rsidR="00C513FD">
              <w:rPr>
                <w:rFonts w:ascii="Calibri" w:eastAsia="Times New Roman" w:hAnsi="Calibri" w:cs="Calibri"/>
                <w:sz w:val="24"/>
                <w:szCs w:val="24"/>
                <w:lang w:eastAsia="en-GB"/>
              </w:rPr>
              <w:t xml:space="preserve">SLP </w:t>
            </w:r>
            <w:r w:rsidR="00073DA4">
              <w:rPr>
                <w:rFonts w:ascii="Calibri" w:eastAsia="Times New Roman" w:hAnsi="Calibri" w:cs="Calibri"/>
                <w:sz w:val="24"/>
                <w:szCs w:val="24"/>
                <w:lang w:eastAsia="en-GB"/>
              </w:rPr>
              <w:t xml:space="preserve">office location is </w:t>
            </w:r>
            <w:proofErr w:type="gramStart"/>
            <w:r w:rsidR="00073DA4">
              <w:rPr>
                <w:rFonts w:ascii="Calibri" w:eastAsia="Times New Roman" w:hAnsi="Calibri" w:cs="Calibri"/>
                <w:sz w:val="24"/>
                <w:szCs w:val="24"/>
                <w:lang w:eastAsia="en-GB"/>
              </w:rPr>
              <w:t>Twickenham</w:t>
            </w:r>
            <w:proofErr w:type="gramEnd"/>
            <w:r w:rsidR="00C513FD">
              <w:rPr>
                <w:rFonts w:ascii="Calibri" w:eastAsia="Times New Roman" w:hAnsi="Calibri" w:cs="Calibri"/>
                <w:sz w:val="24"/>
                <w:szCs w:val="24"/>
                <w:lang w:eastAsia="en-GB"/>
              </w:rPr>
              <w:t xml:space="preserve"> and the post holder may be expected to travel to LA and NHS sites in </w:t>
            </w:r>
            <w:r w:rsidR="00A15772">
              <w:rPr>
                <w:rFonts w:ascii="Calibri" w:eastAsia="Times New Roman" w:hAnsi="Calibri" w:cs="Calibri"/>
                <w:sz w:val="24"/>
                <w:szCs w:val="24"/>
                <w:lang w:eastAsia="en-GB"/>
              </w:rPr>
              <w:t>South West London</w:t>
            </w:r>
            <w:r w:rsidR="00C513FD">
              <w:rPr>
                <w:rFonts w:ascii="Calibri" w:eastAsia="Times New Roman" w:hAnsi="Calibri" w:cs="Calibri"/>
                <w:sz w:val="24"/>
                <w:szCs w:val="24"/>
                <w:lang w:eastAsia="en-GB"/>
              </w:rPr>
              <w:t>.</w:t>
            </w:r>
          </w:p>
        </w:tc>
      </w:tr>
    </w:tbl>
    <w:p w14:paraId="1018EB2F" w14:textId="1FBE8322" w:rsidR="00A32F72" w:rsidRDefault="00A32F72" w:rsidP="00BA71AC">
      <w:r w:rsidRPr="0051086F">
        <w:rPr>
          <w:rFonts w:ascii="Calibri" w:eastAsia="Times New Roman" w:hAnsi="Calibri" w:cs="Arial"/>
          <w:b/>
          <w:bCs/>
          <w:noProof/>
          <w:sz w:val="24"/>
          <w:szCs w:val="24"/>
          <w:lang w:eastAsia="en-GB"/>
        </w:rPr>
        <mc:AlternateContent>
          <mc:Choice Requires="wps">
            <w:drawing>
              <wp:anchor distT="45720" distB="45720" distL="114300" distR="114300" simplePos="0" relativeHeight="251659264" behindDoc="0" locked="0" layoutInCell="1" allowOverlap="1" wp14:anchorId="0D3FFBBB" wp14:editId="5152723C">
                <wp:simplePos x="0" y="0"/>
                <wp:positionH relativeFrom="column">
                  <wp:posOffset>9525</wp:posOffset>
                </wp:positionH>
                <wp:positionV relativeFrom="paragraph">
                  <wp:posOffset>217805</wp:posOffset>
                </wp:positionV>
                <wp:extent cx="5600700" cy="1381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81125"/>
                        </a:xfrm>
                        <a:prstGeom prst="rect">
                          <a:avLst/>
                        </a:prstGeom>
                        <a:solidFill>
                          <a:srgbClr val="FFFFFF"/>
                        </a:solidFill>
                        <a:ln w="9525">
                          <a:solidFill>
                            <a:srgbClr val="000000"/>
                          </a:solidFill>
                          <a:miter lim="800000"/>
                          <a:headEnd/>
                          <a:tailEnd/>
                        </a:ln>
                      </wps:spPr>
                      <wps:txbx>
                        <w:txbxContent>
                          <w:p w14:paraId="5B7F3A4E" w14:textId="6629ED9C" w:rsidR="00BA71AC" w:rsidRPr="0087615B" w:rsidRDefault="00803B7B" w:rsidP="00BA71AC">
                            <w:pPr>
                              <w:rPr>
                                <w:sz w:val="24"/>
                                <w:szCs w:val="24"/>
                              </w:rPr>
                            </w:pPr>
                            <w:r w:rsidRPr="0087615B">
                              <w:rPr>
                                <w:sz w:val="24"/>
                                <w:szCs w:val="24"/>
                              </w:rPr>
                              <w:t xml:space="preserve">Directors of Public Health and their teams </w:t>
                            </w:r>
                            <w:r w:rsidR="00905BFC" w:rsidRPr="0087615B">
                              <w:rPr>
                                <w:sz w:val="24"/>
                                <w:szCs w:val="24"/>
                              </w:rPr>
                              <w:t>in</w:t>
                            </w:r>
                            <w:r w:rsidRPr="0087615B">
                              <w:rPr>
                                <w:sz w:val="24"/>
                                <w:szCs w:val="24"/>
                              </w:rPr>
                              <w:t xml:space="preserve"> </w:t>
                            </w:r>
                            <w:proofErr w:type="gramStart"/>
                            <w:r w:rsidRPr="0087615B">
                              <w:rPr>
                                <w:sz w:val="24"/>
                                <w:szCs w:val="24"/>
                              </w:rPr>
                              <w:t>South West</w:t>
                            </w:r>
                            <w:proofErr w:type="gramEnd"/>
                            <w:r w:rsidRPr="0087615B">
                              <w:rPr>
                                <w:sz w:val="24"/>
                                <w:szCs w:val="24"/>
                              </w:rPr>
                              <w:t xml:space="preserve"> London Boro</w:t>
                            </w:r>
                            <w:r w:rsidR="00042921" w:rsidRPr="0087615B">
                              <w:rPr>
                                <w:sz w:val="24"/>
                                <w:szCs w:val="24"/>
                              </w:rPr>
                              <w:t xml:space="preserve">ughs work closely together and </w:t>
                            </w:r>
                            <w:r w:rsidR="00D14B8A">
                              <w:rPr>
                                <w:sz w:val="24"/>
                                <w:szCs w:val="24"/>
                              </w:rPr>
                              <w:t xml:space="preserve">as part of the </w:t>
                            </w:r>
                            <w:r w:rsidR="00042921" w:rsidRPr="0087615B">
                              <w:rPr>
                                <w:sz w:val="24"/>
                                <w:szCs w:val="24"/>
                              </w:rPr>
                              <w:t xml:space="preserve">South West London Integrated Care System </w:t>
                            </w:r>
                            <w:r w:rsidR="00335C4A" w:rsidRPr="0087615B">
                              <w:rPr>
                                <w:sz w:val="24"/>
                                <w:szCs w:val="24"/>
                              </w:rPr>
                              <w:t xml:space="preserve">(ICS) </w:t>
                            </w:r>
                            <w:r w:rsidR="008F1B75" w:rsidRPr="0087615B">
                              <w:rPr>
                                <w:sz w:val="24"/>
                                <w:szCs w:val="24"/>
                              </w:rPr>
                              <w:t>to help improve population health, healthcare services and tackle inequalities</w:t>
                            </w:r>
                            <w:r w:rsidR="00587427" w:rsidRPr="0087615B">
                              <w:rPr>
                                <w:sz w:val="24"/>
                                <w:szCs w:val="24"/>
                              </w:rPr>
                              <w:t xml:space="preserve">. </w:t>
                            </w:r>
                            <w:r w:rsidR="00F31DA4" w:rsidRPr="0087615B">
                              <w:rPr>
                                <w:sz w:val="24"/>
                                <w:szCs w:val="24"/>
                              </w:rPr>
                              <w:t xml:space="preserve">Whilst much of </w:t>
                            </w:r>
                            <w:r w:rsidR="00030628">
                              <w:rPr>
                                <w:sz w:val="24"/>
                                <w:szCs w:val="24"/>
                              </w:rPr>
                              <w:t>their</w:t>
                            </w:r>
                            <w:r w:rsidR="00F31DA4" w:rsidRPr="0087615B">
                              <w:rPr>
                                <w:sz w:val="24"/>
                                <w:szCs w:val="24"/>
                              </w:rPr>
                              <w:t xml:space="preserve"> focus is at the local ‘place’ level </w:t>
                            </w:r>
                            <w:r w:rsidR="00AD3C52">
                              <w:rPr>
                                <w:sz w:val="24"/>
                                <w:szCs w:val="24"/>
                              </w:rPr>
                              <w:t xml:space="preserve">they are fully committed to </w:t>
                            </w:r>
                            <w:r w:rsidR="002852AC">
                              <w:rPr>
                                <w:sz w:val="24"/>
                                <w:szCs w:val="24"/>
                              </w:rPr>
                              <w:t>delivering the</w:t>
                            </w:r>
                            <w:r w:rsidR="00AD3C52">
                              <w:rPr>
                                <w:sz w:val="24"/>
                                <w:szCs w:val="24"/>
                              </w:rPr>
                              <w:t xml:space="preserve"> </w:t>
                            </w:r>
                            <w:r w:rsidR="00EE5987" w:rsidRPr="0087615B">
                              <w:rPr>
                                <w:sz w:val="24"/>
                                <w:szCs w:val="24"/>
                              </w:rPr>
                              <w:t xml:space="preserve">considerable </w:t>
                            </w:r>
                            <w:r w:rsidR="0087615B" w:rsidRPr="0087615B">
                              <w:rPr>
                                <w:sz w:val="24"/>
                                <w:szCs w:val="24"/>
                              </w:rPr>
                              <w:t xml:space="preserve">value </w:t>
                            </w:r>
                            <w:r w:rsidR="00347CF2">
                              <w:rPr>
                                <w:sz w:val="24"/>
                                <w:szCs w:val="24"/>
                              </w:rPr>
                              <w:t xml:space="preserve">that </w:t>
                            </w:r>
                            <w:r w:rsidR="0087615B" w:rsidRPr="0087615B">
                              <w:rPr>
                                <w:sz w:val="24"/>
                                <w:szCs w:val="24"/>
                              </w:rPr>
                              <w:t>can be added</w:t>
                            </w:r>
                            <w:r w:rsidR="00AD3C52">
                              <w:rPr>
                                <w:sz w:val="24"/>
                                <w:szCs w:val="24"/>
                              </w:rPr>
                              <w:t xml:space="preserve"> from </w:t>
                            </w:r>
                            <w:r w:rsidR="00194FA4">
                              <w:rPr>
                                <w:sz w:val="24"/>
                                <w:szCs w:val="24"/>
                              </w:rPr>
                              <w:t xml:space="preserve">working together at the </w:t>
                            </w:r>
                            <w:proofErr w:type="gramStart"/>
                            <w:r w:rsidR="00194FA4">
                              <w:rPr>
                                <w:sz w:val="24"/>
                                <w:szCs w:val="24"/>
                              </w:rPr>
                              <w:t>South West</w:t>
                            </w:r>
                            <w:proofErr w:type="gramEnd"/>
                            <w:r w:rsidR="00194FA4">
                              <w:rPr>
                                <w:sz w:val="24"/>
                                <w:szCs w:val="24"/>
                              </w:rPr>
                              <w:t xml:space="preserve"> London </w:t>
                            </w:r>
                            <w:r w:rsidR="00AD3C52">
                              <w:rPr>
                                <w:sz w:val="24"/>
                                <w:szCs w:val="24"/>
                              </w:rPr>
                              <w:t>system level</w:t>
                            </w:r>
                            <w:r w:rsidR="00FE7746">
                              <w:rPr>
                                <w:sz w:val="24"/>
                                <w:szCs w:val="24"/>
                              </w:rPr>
                              <w:t>.</w:t>
                            </w:r>
                          </w:p>
                          <w:p w14:paraId="3AECB3C7" w14:textId="77777777" w:rsidR="00BA71AC" w:rsidRDefault="00BA71AC" w:rsidP="00BA71AC"/>
                          <w:p w14:paraId="25B9B349" w14:textId="77777777" w:rsidR="00BA71AC" w:rsidRDefault="00BA71AC" w:rsidP="00BA71AC"/>
                          <w:p w14:paraId="601FB0C3" w14:textId="77777777" w:rsidR="00BA71AC" w:rsidRDefault="00BA71AC" w:rsidP="00BA71AC"/>
                          <w:p w14:paraId="3ACD205A" w14:textId="77777777" w:rsidR="00BA71AC" w:rsidRDefault="00BA71AC" w:rsidP="00BA71AC"/>
                          <w:p w14:paraId="6A5EEBAB" w14:textId="77777777" w:rsidR="00BA71AC" w:rsidRDefault="00BA71AC" w:rsidP="00BA71AC"/>
                          <w:p w14:paraId="5683EA31" w14:textId="77777777" w:rsidR="00BA71AC" w:rsidRDefault="00BA71AC" w:rsidP="00BA71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FFBBB" id="_x0000_t202" coordsize="21600,21600" o:spt="202" path="m,l,21600r21600,l21600,xe">
                <v:stroke joinstyle="miter"/>
                <v:path gradientshapeok="t" o:connecttype="rect"/>
              </v:shapetype>
              <v:shape id="Text Box 2" o:spid="_x0000_s1026" type="#_x0000_t202" style="position:absolute;margin-left:.75pt;margin-top:17.15pt;width:441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">
                <v:textbox>
                  <w:txbxContent>
                    <w:p w14:paraId="5B7F3A4E" w14:textId="6629ED9C" w:rsidR="00BA71AC" w:rsidRPr="0087615B" w:rsidRDefault="00803B7B" w:rsidP="00BA71AC">
                      <w:pPr>
                        <w:rPr>
                          <w:sz w:val="24"/>
                          <w:szCs w:val="24"/>
                        </w:rPr>
                      </w:pPr>
                      <w:r w:rsidRPr="0087615B">
                        <w:rPr>
                          <w:sz w:val="24"/>
                          <w:szCs w:val="24"/>
                        </w:rPr>
                        <w:t xml:space="preserve">Directors of Public Health and their teams </w:t>
                      </w:r>
                      <w:r w:rsidR="00905BFC" w:rsidRPr="0087615B">
                        <w:rPr>
                          <w:sz w:val="24"/>
                          <w:szCs w:val="24"/>
                        </w:rPr>
                        <w:t>in</w:t>
                      </w:r>
                      <w:r w:rsidRPr="0087615B">
                        <w:rPr>
                          <w:sz w:val="24"/>
                          <w:szCs w:val="24"/>
                        </w:rPr>
                        <w:t xml:space="preserve"> </w:t>
                      </w:r>
                      <w:proofErr w:type="gramStart"/>
                      <w:r w:rsidRPr="0087615B">
                        <w:rPr>
                          <w:sz w:val="24"/>
                          <w:szCs w:val="24"/>
                        </w:rPr>
                        <w:t>South West</w:t>
                      </w:r>
                      <w:proofErr w:type="gramEnd"/>
                      <w:r w:rsidRPr="0087615B">
                        <w:rPr>
                          <w:sz w:val="24"/>
                          <w:szCs w:val="24"/>
                        </w:rPr>
                        <w:t xml:space="preserve"> London Boro</w:t>
                      </w:r>
                      <w:r w:rsidR="00042921" w:rsidRPr="0087615B">
                        <w:rPr>
                          <w:sz w:val="24"/>
                          <w:szCs w:val="24"/>
                        </w:rPr>
                        <w:t xml:space="preserve">ughs work closely together and </w:t>
                      </w:r>
                      <w:r w:rsidR="00D14B8A">
                        <w:rPr>
                          <w:sz w:val="24"/>
                          <w:szCs w:val="24"/>
                        </w:rPr>
                        <w:t xml:space="preserve">as part of the </w:t>
                      </w:r>
                      <w:r w:rsidR="00042921" w:rsidRPr="0087615B">
                        <w:rPr>
                          <w:sz w:val="24"/>
                          <w:szCs w:val="24"/>
                        </w:rPr>
                        <w:t xml:space="preserve">South West London Integrated Care System </w:t>
                      </w:r>
                      <w:r w:rsidR="00335C4A" w:rsidRPr="0087615B">
                        <w:rPr>
                          <w:sz w:val="24"/>
                          <w:szCs w:val="24"/>
                        </w:rPr>
                        <w:t xml:space="preserve">(ICS) </w:t>
                      </w:r>
                      <w:r w:rsidR="008F1B75" w:rsidRPr="0087615B">
                        <w:rPr>
                          <w:sz w:val="24"/>
                          <w:szCs w:val="24"/>
                        </w:rPr>
                        <w:t>to help improve population health, healthcare services and tackle inequalities</w:t>
                      </w:r>
                      <w:r w:rsidR="00587427" w:rsidRPr="0087615B">
                        <w:rPr>
                          <w:sz w:val="24"/>
                          <w:szCs w:val="24"/>
                        </w:rPr>
                        <w:t xml:space="preserve">. </w:t>
                      </w:r>
                      <w:r w:rsidR="00F31DA4" w:rsidRPr="0087615B">
                        <w:rPr>
                          <w:sz w:val="24"/>
                          <w:szCs w:val="24"/>
                        </w:rPr>
                        <w:t xml:space="preserve">Whilst much of </w:t>
                      </w:r>
                      <w:r w:rsidR="00030628">
                        <w:rPr>
                          <w:sz w:val="24"/>
                          <w:szCs w:val="24"/>
                        </w:rPr>
                        <w:t>their</w:t>
                      </w:r>
                      <w:r w:rsidR="00F31DA4" w:rsidRPr="0087615B">
                        <w:rPr>
                          <w:sz w:val="24"/>
                          <w:szCs w:val="24"/>
                        </w:rPr>
                        <w:t xml:space="preserve"> focus is at the local ‘place’ level </w:t>
                      </w:r>
                      <w:r w:rsidR="00AD3C52">
                        <w:rPr>
                          <w:sz w:val="24"/>
                          <w:szCs w:val="24"/>
                        </w:rPr>
                        <w:t xml:space="preserve">they are fully committed to </w:t>
                      </w:r>
                      <w:r w:rsidR="002852AC">
                        <w:rPr>
                          <w:sz w:val="24"/>
                          <w:szCs w:val="24"/>
                        </w:rPr>
                        <w:t>delivering the</w:t>
                      </w:r>
                      <w:r w:rsidR="00AD3C52">
                        <w:rPr>
                          <w:sz w:val="24"/>
                          <w:szCs w:val="24"/>
                        </w:rPr>
                        <w:t xml:space="preserve"> </w:t>
                      </w:r>
                      <w:r w:rsidR="00EE5987" w:rsidRPr="0087615B">
                        <w:rPr>
                          <w:sz w:val="24"/>
                          <w:szCs w:val="24"/>
                        </w:rPr>
                        <w:t xml:space="preserve">considerable </w:t>
                      </w:r>
                      <w:r w:rsidR="0087615B" w:rsidRPr="0087615B">
                        <w:rPr>
                          <w:sz w:val="24"/>
                          <w:szCs w:val="24"/>
                        </w:rPr>
                        <w:t xml:space="preserve">value </w:t>
                      </w:r>
                      <w:r w:rsidR="00347CF2">
                        <w:rPr>
                          <w:sz w:val="24"/>
                          <w:szCs w:val="24"/>
                        </w:rPr>
                        <w:t xml:space="preserve">that </w:t>
                      </w:r>
                      <w:r w:rsidR="0087615B" w:rsidRPr="0087615B">
                        <w:rPr>
                          <w:sz w:val="24"/>
                          <w:szCs w:val="24"/>
                        </w:rPr>
                        <w:t>can be added</w:t>
                      </w:r>
                      <w:r w:rsidR="00AD3C52">
                        <w:rPr>
                          <w:sz w:val="24"/>
                          <w:szCs w:val="24"/>
                        </w:rPr>
                        <w:t xml:space="preserve"> from </w:t>
                      </w:r>
                      <w:r w:rsidR="00194FA4">
                        <w:rPr>
                          <w:sz w:val="24"/>
                          <w:szCs w:val="24"/>
                        </w:rPr>
                        <w:t xml:space="preserve">working together at the </w:t>
                      </w:r>
                      <w:proofErr w:type="gramStart"/>
                      <w:r w:rsidR="00194FA4">
                        <w:rPr>
                          <w:sz w:val="24"/>
                          <w:szCs w:val="24"/>
                        </w:rPr>
                        <w:t>South West</w:t>
                      </w:r>
                      <w:proofErr w:type="gramEnd"/>
                      <w:r w:rsidR="00194FA4">
                        <w:rPr>
                          <w:sz w:val="24"/>
                          <w:szCs w:val="24"/>
                        </w:rPr>
                        <w:t xml:space="preserve"> London </w:t>
                      </w:r>
                      <w:r w:rsidR="00AD3C52">
                        <w:rPr>
                          <w:sz w:val="24"/>
                          <w:szCs w:val="24"/>
                        </w:rPr>
                        <w:t>system level</w:t>
                      </w:r>
                      <w:r w:rsidR="00FE7746">
                        <w:rPr>
                          <w:sz w:val="24"/>
                          <w:szCs w:val="24"/>
                        </w:rPr>
                        <w:t>.</w:t>
                      </w:r>
                    </w:p>
                    <w:p w14:paraId="3AECB3C7" w14:textId="77777777" w:rsidR="00BA71AC" w:rsidRDefault="00BA71AC" w:rsidP="00BA71AC"/>
                    <w:p w14:paraId="25B9B349" w14:textId="77777777" w:rsidR="00BA71AC" w:rsidRDefault="00BA71AC" w:rsidP="00BA71AC"/>
                    <w:p w14:paraId="601FB0C3" w14:textId="77777777" w:rsidR="00BA71AC" w:rsidRDefault="00BA71AC" w:rsidP="00BA71AC"/>
                    <w:p w14:paraId="3ACD205A" w14:textId="77777777" w:rsidR="00BA71AC" w:rsidRDefault="00BA71AC" w:rsidP="00BA71AC"/>
                    <w:p w14:paraId="6A5EEBAB" w14:textId="77777777" w:rsidR="00BA71AC" w:rsidRDefault="00BA71AC" w:rsidP="00BA71AC"/>
                    <w:p w14:paraId="5683EA31" w14:textId="77777777" w:rsidR="00BA71AC" w:rsidRDefault="00BA71AC" w:rsidP="00BA71AC"/>
                  </w:txbxContent>
                </v:textbox>
                <w10:wrap type="square"/>
              </v:shape>
            </w:pict>
          </mc:Fallback>
        </mc:AlternateContent>
      </w:r>
    </w:p>
    <w:p w14:paraId="6BA99A57" w14:textId="77777777" w:rsidR="00D1346A" w:rsidRDefault="00D1346A" w:rsidP="00A32F72">
      <w:pPr>
        <w:spacing w:after="120" w:line="240" w:lineRule="auto"/>
        <w:rPr>
          <w:rFonts w:ascii="Calibri" w:eastAsia="Times New Roman" w:hAnsi="Calibri" w:cs="Arial"/>
          <w:b/>
          <w:bCs/>
          <w:sz w:val="24"/>
          <w:szCs w:val="24"/>
          <w:lang w:eastAsia="en-GB"/>
        </w:rPr>
      </w:pPr>
    </w:p>
    <w:p w14:paraId="69FC380A" w14:textId="03D05DC2" w:rsidR="00A32F72" w:rsidRDefault="00A32F72" w:rsidP="00A32F72">
      <w:pPr>
        <w:spacing w:after="120" w:line="240" w:lineRule="auto"/>
        <w:rPr>
          <w:rFonts w:ascii="Calibri" w:eastAsia="Times New Roman" w:hAnsi="Calibri" w:cs="Arial"/>
          <w:b/>
          <w:bCs/>
          <w:sz w:val="24"/>
          <w:szCs w:val="24"/>
          <w:lang w:eastAsia="en-GB"/>
        </w:rPr>
      </w:pPr>
      <w:r w:rsidRPr="00C8025F">
        <w:rPr>
          <w:rFonts w:ascii="Calibri" w:eastAsia="Times New Roman" w:hAnsi="Calibri" w:cs="Arial"/>
          <w:b/>
          <w:bCs/>
          <w:sz w:val="24"/>
          <w:szCs w:val="24"/>
          <w:lang w:eastAsia="en-GB"/>
        </w:rPr>
        <w:t>Job Purpose</w:t>
      </w:r>
    </w:p>
    <w:p w14:paraId="331A0B75" w14:textId="3F0DE04C" w:rsidR="000C7BD6" w:rsidRDefault="003326C7" w:rsidP="00A32F72">
      <w:pPr>
        <w:spacing w:after="120" w:line="240" w:lineRule="auto"/>
        <w:rPr>
          <w:rFonts w:ascii="Calibri" w:eastAsia="Times New Roman" w:hAnsi="Calibri" w:cs="Arial"/>
          <w:sz w:val="24"/>
          <w:szCs w:val="24"/>
          <w:lang w:eastAsia="en-GB"/>
        </w:rPr>
      </w:pPr>
      <w:r w:rsidRPr="00530E10">
        <w:rPr>
          <w:rFonts w:ascii="Calibri" w:eastAsia="Times New Roman" w:hAnsi="Calibri" w:cs="Arial"/>
          <w:sz w:val="24"/>
          <w:szCs w:val="24"/>
          <w:lang w:eastAsia="en-GB"/>
        </w:rPr>
        <w:t xml:space="preserve">To </w:t>
      </w:r>
      <w:r w:rsidR="00CF43BE">
        <w:rPr>
          <w:rFonts w:ascii="Calibri" w:eastAsia="Times New Roman" w:hAnsi="Calibri" w:cs="Arial"/>
          <w:sz w:val="24"/>
          <w:szCs w:val="24"/>
          <w:lang w:eastAsia="en-GB"/>
        </w:rPr>
        <w:t>work with</w:t>
      </w:r>
      <w:r w:rsidR="000C7BD6">
        <w:rPr>
          <w:rFonts w:ascii="Calibri" w:eastAsia="Times New Roman" w:hAnsi="Calibri" w:cs="Arial"/>
          <w:sz w:val="24"/>
          <w:szCs w:val="24"/>
          <w:lang w:eastAsia="en-GB"/>
        </w:rPr>
        <w:t xml:space="preserve"> D</w:t>
      </w:r>
      <w:r w:rsidR="007C2125">
        <w:rPr>
          <w:rFonts w:ascii="Calibri" w:eastAsia="Times New Roman" w:hAnsi="Calibri" w:cs="Arial"/>
          <w:sz w:val="24"/>
          <w:szCs w:val="24"/>
          <w:lang w:eastAsia="en-GB"/>
        </w:rPr>
        <w:t xml:space="preserve">irectors of </w:t>
      </w:r>
      <w:r w:rsidR="000C7BD6">
        <w:rPr>
          <w:rFonts w:ascii="Calibri" w:eastAsia="Times New Roman" w:hAnsi="Calibri" w:cs="Arial"/>
          <w:sz w:val="24"/>
          <w:szCs w:val="24"/>
          <w:lang w:eastAsia="en-GB"/>
        </w:rPr>
        <w:t>P</w:t>
      </w:r>
      <w:r w:rsidR="007C2125">
        <w:rPr>
          <w:rFonts w:ascii="Calibri" w:eastAsia="Times New Roman" w:hAnsi="Calibri" w:cs="Arial"/>
          <w:sz w:val="24"/>
          <w:szCs w:val="24"/>
          <w:lang w:eastAsia="en-GB"/>
        </w:rPr>
        <w:t xml:space="preserve">ublic </w:t>
      </w:r>
      <w:r w:rsidR="000C7BD6">
        <w:rPr>
          <w:rFonts w:ascii="Calibri" w:eastAsia="Times New Roman" w:hAnsi="Calibri" w:cs="Arial"/>
          <w:sz w:val="24"/>
          <w:szCs w:val="24"/>
          <w:lang w:eastAsia="en-GB"/>
        </w:rPr>
        <w:t>H</w:t>
      </w:r>
      <w:r w:rsidR="007C2125">
        <w:rPr>
          <w:rFonts w:ascii="Calibri" w:eastAsia="Times New Roman" w:hAnsi="Calibri" w:cs="Arial"/>
          <w:sz w:val="24"/>
          <w:szCs w:val="24"/>
          <w:lang w:eastAsia="en-GB"/>
        </w:rPr>
        <w:t>ealth (</w:t>
      </w:r>
      <w:proofErr w:type="spellStart"/>
      <w:r w:rsidR="007C2125">
        <w:rPr>
          <w:rFonts w:ascii="Calibri" w:eastAsia="Times New Roman" w:hAnsi="Calibri" w:cs="Arial"/>
          <w:sz w:val="24"/>
          <w:szCs w:val="24"/>
          <w:lang w:eastAsia="en-GB"/>
        </w:rPr>
        <w:t>DsPH</w:t>
      </w:r>
      <w:proofErr w:type="spellEnd"/>
      <w:r w:rsidR="007C2125">
        <w:rPr>
          <w:rFonts w:ascii="Calibri" w:eastAsia="Times New Roman" w:hAnsi="Calibri" w:cs="Arial"/>
          <w:sz w:val="24"/>
          <w:szCs w:val="24"/>
          <w:lang w:eastAsia="en-GB"/>
        </w:rPr>
        <w:t>)</w:t>
      </w:r>
      <w:r w:rsidR="000C7BD6">
        <w:rPr>
          <w:rFonts w:ascii="Calibri" w:eastAsia="Times New Roman" w:hAnsi="Calibri" w:cs="Arial"/>
          <w:sz w:val="24"/>
          <w:szCs w:val="24"/>
          <w:lang w:eastAsia="en-GB"/>
        </w:rPr>
        <w:t xml:space="preserve"> across </w:t>
      </w:r>
      <w:proofErr w:type="gramStart"/>
      <w:r w:rsidR="000C7BD6">
        <w:rPr>
          <w:rFonts w:ascii="Calibri" w:eastAsia="Times New Roman" w:hAnsi="Calibri" w:cs="Arial"/>
          <w:sz w:val="24"/>
          <w:szCs w:val="24"/>
          <w:lang w:eastAsia="en-GB"/>
        </w:rPr>
        <w:t>S</w:t>
      </w:r>
      <w:r w:rsidR="007C2125">
        <w:rPr>
          <w:rFonts w:ascii="Calibri" w:eastAsia="Times New Roman" w:hAnsi="Calibri" w:cs="Arial"/>
          <w:sz w:val="24"/>
          <w:szCs w:val="24"/>
          <w:lang w:eastAsia="en-GB"/>
        </w:rPr>
        <w:t xml:space="preserve">outh </w:t>
      </w:r>
      <w:r w:rsidR="000C7BD6">
        <w:rPr>
          <w:rFonts w:ascii="Calibri" w:eastAsia="Times New Roman" w:hAnsi="Calibri" w:cs="Arial"/>
          <w:sz w:val="24"/>
          <w:szCs w:val="24"/>
          <w:lang w:eastAsia="en-GB"/>
        </w:rPr>
        <w:t>W</w:t>
      </w:r>
      <w:r w:rsidR="007C2125">
        <w:rPr>
          <w:rFonts w:ascii="Calibri" w:eastAsia="Times New Roman" w:hAnsi="Calibri" w:cs="Arial"/>
          <w:sz w:val="24"/>
          <w:szCs w:val="24"/>
          <w:lang w:eastAsia="en-GB"/>
        </w:rPr>
        <w:t>est</w:t>
      </w:r>
      <w:proofErr w:type="gramEnd"/>
      <w:r w:rsidR="007C2125">
        <w:rPr>
          <w:rFonts w:ascii="Calibri" w:eastAsia="Times New Roman" w:hAnsi="Calibri" w:cs="Arial"/>
          <w:sz w:val="24"/>
          <w:szCs w:val="24"/>
          <w:lang w:eastAsia="en-GB"/>
        </w:rPr>
        <w:t xml:space="preserve"> </w:t>
      </w:r>
      <w:r w:rsidR="000C7BD6">
        <w:rPr>
          <w:rFonts w:ascii="Calibri" w:eastAsia="Times New Roman" w:hAnsi="Calibri" w:cs="Arial"/>
          <w:sz w:val="24"/>
          <w:szCs w:val="24"/>
          <w:lang w:eastAsia="en-GB"/>
        </w:rPr>
        <w:t>L</w:t>
      </w:r>
      <w:r w:rsidR="007C2125">
        <w:rPr>
          <w:rFonts w:ascii="Calibri" w:eastAsia="Times New Roman" w:hAnsi="Calibri" w:cs="Arial"/>
          <w:sz w:val="24"/>
          <w:szCs w:val="24"/>
          <w:lang w:eastAsia="en-GB"/>
        </w:rPr>
        <w:t>ondon (SWL)</w:t>
      </w:r>
      <w:r w:rsidR="000C7BD6">
        <w:rPr>
          <w:rFonts w:ascii="Calibri" w:eastAsia="Times New Roman" w:hAnsi="Calibri" w:cs="Arial"/>
          <w:sz w:val="24"/>
          <w:szCs w:val="24"/>
          <w:lang w:eastAsia="en-GB"/>
        </w:rPr>
        <w:t xml:space="preserve"> to </w:t>
      </w:r>
      <w:r w:rsidRPr="00530E10">
        <w:rPr>
          <w:rFonts w:ascii="Calibri" w:eastAsia="Times New Roman" w:hAnsi="Calibri" w:cs="Arial"/>
          <w:sz w:val="24"/>
          <w:szCs w:val="24"/>
          <w:lang w:eastAsia="en-GB"/>
        </w:rPr>
        <w:t xml:space="preserve">provide public health </w:t>
      </w:r>
      <w:r w:rsidR="00C67D1C" w:rsidRPr="00530E10">
        <w:rPr>
          <w:rFonts w:ascii="Calibri" w:eastAsia="Times New Roman" w:hAnsi="Calibri" w:cs="Arial"/>
          <w:sz w:val="24"/>
          <w:szCs w:val="24"/>
          <w:lang w:eastAsia="en-GB"/>
        </w:rPr>
        <w:t xml:space="preserve">leadership and expertise to support </w:t>
      </w:r>
      <w:r w:rsidR="00F6721C">
        <w:rPr>
          <w:rFonts w:ascii="Calibri" w:eastAsia="Times New Roman" w:hAnsi="Calibri" w:cs="Arial"/>
          <w:sz w:val="24"/>
          <w:szCs w:val="24"/>
          <w:lang w:eastAsia="en-GB"/>
        </w:rPr>
        <w:t xml:space="preserve">the </w:t>
      </w:r>
      <w:r w:rsidR="00FB6DDA">
        <w:rPr>
          <w:rFonts w:ascii="Calibri" w:eastAsia="Times New Roman" w:hAnsi="Calibri" w:cs="Arial"/>
          <w:sz w:val="24"/>
          <w:szCs w:val="24"/>
          <w:lang w:eastAsia="en-GB"/>
        </w:rPr>
        <w:t xml:space="preserve">development of </w:t>
      </w:r>
      <w:r w:rsidR="005C30C9">
        <w:rPr>
          <w:rFonts w:ascii="Calibri" w:eastAsia="Times New Roman" w:hAnsi="Calibri" w:cs="Arial"/>
          <w:sz w:val="24"/>
          <w:szCs w:val="24"/>
          <w:lang w:eastAsia="en-GB"/>
        </w:rPr>
        <w:t>the S</w:t>
      </w:r>
      <w:r w:rsidR="00F6721C">
        <w:rPr>
          <w:rFonts w:ascii="Calibri" w:eastAsia="Times New Roman" w:hAnsi="Calibri" w:cs="Arial"/>
          <w:sz w:val="24"/>
          <w:szCs w:val="24"/>
          <w:lang w:eastAsia="en-GB"/>
        </w:rPr>
        <w:t xml:space="preserve">outh </w:t>
      </w:r>
      <w:r w:rsidR="005C30C9">
        <w:rPr>
          <w:rFonts w:ascii="Calibri" w:eastAsia="Times New Roman" w:hAnsi="Calibri" w:cs="Arial"/>
          <w:sz w:val="24"/>
          <w:szCs w:val="24"/>
          <w:lang w:eastAsia="en-GB"/>
        </w:rPr>
        <w:t>W</w:t>
      </w:r>
      <w:r w:rsidR="00F6721C">
        <w:rPr>
          <w:rFonts w:ascii="Calibri" w:eastAsia="Times New Roman" w:hAnsi="Calibri" w:cs="Arial"/>
          <w:sz w:val="24"/>
          <w:szCs w:val="24"/>
          <w:lang w:eastAsia="en-GB"/>
        </w:rPr>
        <w:t xml:space="preserve">est </w:t>
      </w:r>
      <w:r w:rsidR="005C30C9">
        <w:rPr>
          <w:rFonts w:ascii="Calibri" w:eastAsia="Times New Roman" w:hAnsi="Calibri" w:cs="Arial"/>
          <w:sz w:val="24"/>
          <w:szCs w:val="24"/>
          <w:lang w:eastAsia="en-GB"/>
        </w:rPr>
        <w:t>L</w:t>
      </w:r>
      <w:r w:rsidR="00F6721C">
        <w:rPr>
          <w:rFonts w:ascii="Calibri" w:eastAsia="Times New Roman" w:hAnsi="Calibri" w:cs="Arial"/>
          <w:sz w:val="24"/>
          <w:szCs w:val="24"/>
          <w:lang w:eastAsia="en-GB"/>
        </w:rPr>
        <w:t>ondon</w:t>
      </w:r>
      <w:r w:rsidR="005C30C9">
        <w:rPr>
          <w:rFonts w:ascii="Calibri" w:eastAsia="Times New Roman" w:hAnsi="Calibri" w:cs="Arial"/>
          <w:sz w:val="24"/>
          <w:szCs w:val="24"/>
          <w:lang w:eastAsia="en-GB"/>
        </w:rPr>
        <w:t xml:space="preserve"> Integrated Care System</w:t>
      </w:r>
      <w:r w:rsidR="007C2125">
        <w:rPr>
          <w:rFonts w:ascii="Calibri" w:eastAsia="Times New Roman" w:hAnsi="Calibri" w:cs="Arial"/>
          <w:sz w:val="24"/>
          <w:szCs w:val="24"/>
          <w:lang w:eastAsia="en-GB"/>
        </w:rPr>
        <w:t xml:space="preserve"> (SWL ICS)</w:t>
      </w:r>
      <w:r w:rsidR="005C30C9">
        <w:rPr>
          <w:rFonts w:ascii="Calibri" w:eastAsia="Times New Roman" w:hAnsi="Calibri" w:cs="Arial"/>
          <w:sz w:val="24"/>
          <w:szCs w:val="24"/>
          <w:lang w:eastAsia="en-GB"/>
        </w:rPr>
        <w:t xml:space="preserve"> </w:t>
      </w:r>
      <w:r w:rsidR="006E4BD0">
        <w:rPr>
          <w:rFonts w:ascii="Calibri" w:eastAsia="Times New Roman" w:hAnsi="Calibri" w:cs="Arial"/>
          <w:sz w:val="24"/>
          <w:szCs w:val="24"/>
          <w:lang w:eastAsia="en-GB"/>
        </w:rPr>
        <w:t>s</w:t>
      </w:r>
      <w:r w:rsidR="00BB7D25">
        <w:rPr>
          <w:rFonts w:ascii="Calibri" w:eastAsia="Times New Roman" w:hAnsi="Calibri" w:cs="Arial"/>
          <w:sz w:val="24"/>
          <w:szCs w:val="24"/>
          <w:lang w:eastAsia="en-GB"/>
        </w:rPr>
        <w:t xml:space="preserve">o it </w:t>
      </w:r>
      <w:r w:rsidR="00142677">
        <w:rPr>
          <w:rFonts w:ascii="Calibri" w:eastAsia="Times New Roman" w:hAnsi="Calibri" w:cs="Arial"/>
          <w:sz w:val="24"/>
          <w:szCs w:val="24"/>
          <w:lang w:eastAsia="en-GB"/>
        </w:rPr>
        <w:t xml:space="preserve">improves population health and tackles </w:t>
      </w:r>
      <w:r w:rsidR="000527C2">
        <w:rPr>
          <w:rFonts w:ascii="Calibri" w:eastAsia="Times New Roman" w:hAnsi="Calibri" w:cs="Arial"/>
          <w:sz w:val="24"/>
          <w:szCs w:val="24"/>
          <w:lang w:eastAsia="en-GB"/>
        </w:rPr>
        <w:t>inequalities</w:t>
      </w:r>
      <w:r w:rsidR="000C7BD6">
        <w:rPr>
          <w:rFonts w:ascii="Calibri" w:eastAsia="Times New Roman" w:hAnsi="Calibri" w:cs="Arial"/>
          <w:sz w:val="24"/>
          <w:szCs w:val="24"/>
          <w:lang w:eastAsia="en-GB"/>
        </w:rPr>
        <w:t xml:space="preserve">.  This </w:t>
      </w:r>
      <w:r w:rsidR="00B37EA1">
        <w:rPr>
          <w:rFonts w:ascii="Calibri" w:eastAsia="Times New Roman" w:hAnsi="Calibri" w:cs="Arial"/>
          <w:sz w:val="24"/>
          <w:szCs w:val="24"/>
          <w:lang w:eastAsia="en-GB"/>
        </w:rPr>
        <w:t>includes:</w:t>
      </w:r>
      <w:r w:rsidR="000C7BD6">
        <w:rPr>
          <w:rFonts w:ascii="Calibri" w:eastAsia="Times New Roman" w:hAnsi="Calibri" w:cs="Arial"/>
          <w:sz w:val="24"/>
          <w:szCs w:val="24"/>
          <w:lang w:eastAsia="en-GB"/>
        </w:rPr>
        <w:t xml:space="preserve"> </w:t>
      </w:r>
      <w:r w:rsidR="006B6156">
        <w:rPr>
          <w:rFonts w:ascii="Calibri" w:eastAsia="Times New Roman" w:hAnsi="Calibri" w:cs="Arial"/>
          <w:sz w:val="24"/>
          <w:szCs w:val="24"/>
          <w:lang w:eastAsia="en-GB"/>
        </w:rPr>
        <w:t xml:space="preserve"> </w:t>
      </w:r>
    </w:p>
    <w:p w14:paraId="0D0C4565" w14:textId="6E2C406F" w:rsidR="00066037" w:rsidRPr="002A259C" w:rsidRDefault="00DD23B3" w:rsidP="002A259C">
      <w:pPr>
        <w:pStyle w:val="ListParagraph"/>
        <w:numPr>
          <w:ilvl w:val="0"/>
          <w:numId w:val="4"/>
        </w:numPr>
        <w:spacing w:after="120" w:line="240" w:lineRule="auto"/>
        <w:rPr>
          <w:rFonts w:ascii="Calibri" w:eastAsia="Times New Roman" w:hAnsi="Calibri" w:cs="Arial"/>
          <w:sz w:val="24"/>
          <w:szCs w:val="24"/>
          <w:lang w:eastAsia="en-GB"/>
        </w:rPr>
      </w:pPr>
      <w:r w:rsidRPr="002A259C">
        <w:rPr>
          <w:rFonts w:ascii="Calibri" w:eastAsia="Times New Roman" w:hAnsi="Calibri" w:cs="Arial"/>
          <w:sz w:val="24"/>
          <w:szCs w:val="24"/>
          <w:lang w:eastAsia="en-GB"/>
        </w:rPr>
        <w:t>C</w:t>
      </w:r>
      <w:r w:rsidR="00066037" w:rsidRPr="002A259C">
        <w:rPr>
          <w:rFonts w:ascii="Calibri" w:eastAsia="Times New Roman" w:hAnsi="Calibri" w:cs="Arial"/>
          <w:sz w:val="24"/>
          <w:szCs w:val="24"/>
          <w:lang w:eastAsia="en-GB"/>
        </w:rPr>
        <w:t>ontr</w:t>
      </w:r>
      <w:r w:rsidRPr="002A259C">
        <w:rPr>
          <w:rFonts w:ascii="Calibri" w:eastAsia="Times New Roman" w:hAnsi="Calibri" w:cs="Arial"/>
          <w:sz w:val="24"/>
          <w:szCs w:val="24"/>
          <w:lang w:eastAsia="en-GB"/>
        </w:rPr>
        <w:t>ibuting to and influencing the development of system wide strategies, plans and programmes</w:t>
      </w:r>
    </w:p>
    <w:p w14:paraId="0632DF4B" w14:textId="7BCD730F" w:rsidR="000C7BD6" w:rsidRPr="002A259C" w:rsidRDefault="002A259C" w:rsidP="002A259C">
      <w:pPr>
        <w:pStyle w:val="ListParagraph"/>
        <w:numPr>
          <w:ilvl w:val="0"/>
          <w:numId w:val="4"/>
        </w:numPr>
        <w:spacing w:after="12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Helping devel</w:t>
      </w:r>
      <w:r w:rsidR="00AA2325">
        <w:rPr>
          <w:rFonts w:ascii="Calibri" w:eastAsia="Times New Roman" w:hAnsi="Calibri" w:cs="Arial"/>
          <w:sz w:val="24"/>
          <w:szCs w:val="24"/>
          <w:lang w:eastAsia="en-GB"/>
        </w:rPr>
        <w:t>op the</w:t>
      </w:r>
      <w:r w:rsidR="004A41C4" w:rsidRPr="002A259C">
        <w:rPr>
          <w:rFonts w:ascii="Calibri" w:eastAsia="Times New Roman" w:hAnsi="Calibri" w:cs="Arial"/>
          <w:sz w:val="24"/>
          <w:szCs w:val="24"/>
          <w:lang w:eastAsia="en-GB"/>
        </w:rPr>
        <w:t xml:space="preserve"> ICS</w:t>
      </w:r>
      <w:r w:rsidR="00AA2325">
        <w:rPr>
          <w:rFonts w:ascii="Calibri" w:eastAsia="Times New Roman" w:hAnsi="Calibri" w:cs="Arial"/>
          <w:sz w:val="24"/>
          <w:szCs w:val="24"/>
          <w:lang w:eastAsia="en-GB"/>
        </w:rPr>
        <w:t xml:space="preserve"> approach to</w:t>
      </w:r>
      <w:r w:rsidR="004A41C4" w:rsidRPr="002A259C">
        <w:rPr>
          <w:rFonts w:ascii="Calibri" w:eastAsia="Times New Roman" w:hAnsi="Calibri" w:cs="Arial"/>
          <w:sz w:val="24"/>
          <w:szCs w:val="24"/>
          <w:lang w:eastAsia="en-GB"/>
        </w:rPr>
        <w:t xml:space="preserve"> tackling inequalities </w:t>
      </w:r>
      <w:r w:rsidR="001A7EE2">
        <w:rPr>
          <w:rFonts w:ascii="Calibri" w:eastAsia="Times New Roman" w:hAnsi="Calibri" w:cs="Arial"/>
          <w:sz w:val="24"/>
          <w:szCs w:val="24"/>
          <w:lang w:eastAsia="en-GB"/>
        </w:rPr>
        <w:t>particularly</w:t>
      </w:r>
      <w:r w:rsidR="004A41C4" w:rsidRPr="002A259C">
        <w:rPr>
          <w:rFonts w:ascii="Calibri" w:eastAsia="Times New Roman" w:hAnsi="Calibri" w:cs="Arial"/>
          <w:sz w:val="24"/>
          <w:szCs w:val="24"/>
          <w:lang w:eastAsia="en-GB"/>
        </w:rPr>
        <w:t xml:space="preserve"> through </w:t>
      </w:r>
      <w:r w:rsidR="00E41F47" w:rsidRPr="002A259C">
        <w:rPr>
          <w:rFonts w:ascii="Calibri" w:eastAsia="Times New Roman" w:hAnsi="Calibri" w:cs="Arial"/>
          <w:sz w:val="24"/>
          <w:szCs w:val="24"/>
          <w:lang w:eastAsia="en-GB"/>
        </w:rPr>
        <w:t xml:space="preserve">a </w:t>
      </w:r>
      <w:r w:rsidR="00612832" w:rsidRPr="002A259C">
        <w:rPr>
          <w:rFonts w:ascii="Calibri" w:eastAsia="Times New Roman" w:hAnsi="Calibri" w:cs="Arial"/>
          <w:sz w:val="24"/>
          <w:szCs w:val="24"/>
          <w:lang w:eastAsia="en-GB"/>
        </w:rPr>
        <w:t xml:space="preserve">focus on </w:t>
      </w:r>
      <w:r w:rsidR="007634BF" w:rsidRPr="002A259C">
        <w:rPr>
          <w:rFonts w:ascii="Calibri" w:eastAsia="Times New Roman" w:hAnsi="Calibri" w:cs="Arial"/>
          <w:sz w:val="24"/>
          <w:szCs w:val="24"/>
          <w:lang w:eastAsia="en-GB"/>
        </w:rPr>
        <w:t>wider determinants</w:t>
      </w:r>
    </w:p>
    <w:p w14:paraId="2AED38F5" w14:textId="592CE094" w:rsidR="00A32F72" w:rsidRPr="002A259C" w:rsidRDefault="00B01636" w:rsidP="002A259C">
      <w:pPr>
        <w:pStyle w:val="ListParagraph"/>
        <w:numPr>
          <w:ilvl w:val="0"/>
          <w:numId w:val="4"/>
        </w:numPr>
        <w:spacing w:after="12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lastRenderedPageBreak/>
        <w:t>Ensuring the</w:t>
      </w:r>
      <w:r w:rsidR="00695967">
        <w:rPr>
          <w:rFonts w:ascii="Calibri" w:eastAsia="Times New Roman" w:hAnsi="Calibri" w:cs="Arial"/>
          <w:sz w:val="24"/>
          <w:szCs w:val="24"/>
          <w:lang w:eastAsia="en-GB"/>
        </w:rPr>
        <w:t xml:space="preserve"> d</w:t>
      </w:r>
      <w:r w:rsidR="00E41F47" w:rsidRPr="002A259C">
        <w:rPr>
          <w:rFonts w:ascii="Calibri" w:eastAsia="Times New Roman" w:hAnsi="Calibri" w:cs="Arial"/>
          <w:sz w:val="24"/>
          <w:szCs w:val="24"/>
          <w:lang w:eastAsia="en-GB"/>
        </w:rPr>
        <w:t>evelop</w:t>
      </w:r>
      <w:r>
        <w:rPr>
          <w:rFonts w:ascii="Calibri" w:eastAsia="Times New Roman" w:hAnsi="Calibri" w:cs="Arial"/>
          <w:sz w:val="24"/>
          <w:szCs w:val="24"/>
          <w:lang w:eastAsia="en-GB"/>
        </w:rPr>
        <w:t>ment</w:t>
      </w:r>
      <w:r w:rsidR="00E41F47" w:rsidRPr="002A259C">
        <w:rPr>
          <w:rFonts w:ascii="Calibri" w:eastAsia="Times New Roman" w:hAnsi="Calibri" w:cs="Arial"/>
          <w:sz w:val="24"/>
          <w:szCs w:val="24"/>
          <w:lang w:eastAsia="en-GB"/>
        </w:rPr>
        <w:t xml:space="preserve"> and embed</w:t>
      </w:r>
      <w:r>
        <w:rPr>
          <w:rFonts w:ascii="Calibri" w:eastAsia="Times New Roman" w:hAnsi="Calibri" w:cs="Arial"/>
          <w:sz w:val="24"/>
          <w:szCs w:val="24"/>
          <w:lang w:eastAsia="en-GB"/>
        </w:rPr>
        <w:t xml:space="preserve">ding of </w:t>
      </w:r>
      <w:r w:rsidR="00E41F47" w:rsidRPr="002A259C">
        <w:rPr>
          <w:rFonts w:ascii="Calibri" w:eastAsia="Times New Roman" w:hAnsi="Calibri" w:cs="Arial"/>
          <w:sz w:val="24"/>
          <w:szCs w:val="24"/>
          <w:lang w:eastAsia="en-GB"/>
        </w:rPr>
        <w:t>a</w:t>
      </w:r>
      <w:r>
        <w:rPr>
          <w:rFonts w:ascii="Calibri" w:eastAsia="Times New Roman" w:hAnsi="Calibri" w:cs="Arial"/>
          <w:sz w:val="24"/>
          <w:szCs w:val="24"/>
          <w:lang w:eastAsia="en-GB"/>
        </w:rPr>
        <w:t xml:space="preserve"> successful</w:t>
      </w:r>
      <w:r w:rsidR="00E41F47" w:rsidRPr="002A259C">
        <w:rPr>
          <w:rFonts w:ascii="Calibri" w:eastAsia="Times New Roman" w:hAnsi="Calibri" w:cs="Arial"/>
          <w:sz w:val="24"/>
          <w:szCs w:val="24"/>
          <w:lang w:eastAsia="en-GB"/>
        </w:rPr>
        <w:t xml:space="preserve"> </w:t>
      </w:r>
      <w:r w:rsidR="00612832" w:rsidRPr="002A259C">
        <w:rPr>
          <w:rFonts w:ascii="Calibri" w:eastAsia="Times New Roman" w:hAnsi="Calibri" w:cs="Arial"/>
          <w:sz w:val="24"/>
          <w:szCs w:val="24"/>
          <w:lang w:eastAsia="en-GB"/>
        </w:rPr>
        <w:t>population health management approach</w:t>
      </w:r>
    </w:p>
    <w:p w14:paraId="4FA34453" w14:textId="17FAA6ED" w:rsidR="005A7CEB" w:rsidRPr="002A259C" w:rsidRDefault="00403435" w:rsidP="002A259C">
      <w:pPr>
        <w:pStyle w:val="ListParagraph"/>
        <w:numPr>
          <w:ilvl w:val="0"/>
          <w:numId w:val="4"/>
        </w:numPr>
        <w:spacing w:after="12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Building</w:t>
      </w:r>
      <w:r w:rsidR="009946D6">
        <w:rPr>
          <w:rFonts w:ascii="Calibri" w:eastAsia="Times New Roman" w:hAnsi="Calibri" w:cs="Arial"/>
          <w:sz w:val="24"/>
          <w:szCs w:val="24"/>
          <w:lang w:eastAsia="en-GB"/>
        </w:rPr>
        <w:t xml:space="preserve"> a f</w:t>
      </w:r>
      <w:r w:rsidR="005A7CEB" w:rsidRPr="002A259C">
        <w:rPr>
          <w:rFonts w:ascii="Calibri" w:eastAsia="Times New Roman" w:hAnsi="Calibri" w:cs="Arial"/>
          <w:sz w:val="24"/>
          <w:szCs w:val="24"/>
          <w:lang w:eastAsia="en-GB"/>
        </w:rPr>
        <w:t>ocus on prevention and early intervention</w:t>
      </w:r>
      <w:r>
        <w:rPr>
          <w:rFonts w:ascii="Calibri" w:eastAsia="Times New Roman" w:hAnsi="Calibri" w:cs="Arial"/>
          <w:sz w:val="24"/>
          <w:szCs w:val="24"/>
          <w:lang w:eastAsia="en-GB"/>
        </w:rPr>
        <w:t xml:space="preserve"> </w:t>
      </w:r>
    </w:p>
    <w:p w14:paraId="54CC93CB" w14:textId="43E1A3D0" w:rsidR="00E41F47" w:rsidRPr="002A259C" w:rsidRDefault="007014AC" w:rsidP="002A259C">
      <w:pPr>
        <w:pStyle w:val="ListParagraph"/>
        <w:numPr>
          <w:ilvl w:val="0"/>
          <w:numId w:val="4"/>
        </w:numPr>
        <w:spacing w:after="120" w:line="240" w:lineRule="auto"/>
        <w:rPr>
          <w:rFonts w:ascii="Calibri" w:eastAsia="Times New Roman" w:hAnsi="Calibri" w:cs="Arial"/>
          <w:sz w:val="24"/>
          <w:szCs w:val="24"/>
          <w:lang w:eastAsia="en-GB"/>
        </w:rPr>
      </w:pPr>
      <w:r w:rsidRPr="002A259C">
        <w:rPr>
          <w:rFonts w:ascii="Calibri" w:eastAsia="Times New Roman" w:hAnsi="Calibri" w:cs="Arial"/>
          <w:sz w:val="24"/>
          <w:szCs w:val="24"/>
          <w:lang w:eastAsia="en-GB"/>
        </w:rPr>
        <w:t>Supporting the development of an effective approach to monitoring progress of the ICS in improving outcomes for residents</w:t>
      </w:r>
      <w:r w:rsidR="00DE308A">
        <w:rPr>
          <w:rFonts w:ascii="Calibri" w:eastAsia="Times New Roman" w:hAnsi="Calibri" w:cs="Arial"/>
          <w:sz w:val="24"/>
          <w:szCs w:val="24"/>
          <w:lang w:eastAsia="en-GB"/>
        </w:rPr>
        <w:t xml:space="preserve">. </w:t>
      </w:r>
    </w:p>
    <w:p w14:paraId="76DBB997" w14:textId="77777777" w:rsidR="00785429" w:rsidRDefault="00785429" w:rsidP="00A32F72">
      <w:pPr>
        <w:spacing w:after="120" w:line="240" w:lineRule="auto"/>
        <w:rPr>
          <w:rFonts w:ascii="Calibri" w:eastAsia="Times New Roman" w:hAnsi="Calibri" w:cs="Arial"/>
          <w:b/>
          <w:bCs/>
          <w:sz w:val="24"/>
          <w:szCs w:val="24"/>
          <w:lang w:eastAsia="en-GB"/>
        </w:rPr>
      </w:pPr>
    </w:p>
    <w:p w14:paraId="6746EDE7" w14:textId="52D95697" w:rsidR="00A32F72" w:rsidRDefault="00EB56E1" w:rsidP="00A32F72">
      <w:pPr>
        <w:spacing w:after="120" w:line="240" w:lineRule="auto"/>
        <w:rPr>
          <w:rFonts w:ascii="Calibri" w:eastAsia="Times New Roman" w:hAnsi="Calibri" w:cs="Arial"/>
          <w:b/>
          <w:bCs/>
          <w:sz w:val="24"/>
          <w:szCs w:val="24"/>
          <w:lang w:eastAsia="en-GB"/>
        </w:rPr>
      </w:pPr>
      <w:r>
        <w:rPr>
          <w:rFonts w:ascii="Calibri" w:eastAsia="Times New Roman" w:hAnsi="Calibri" w:cs="Arial"/>
          <w:b/>
          <w:bCs/>
          <w:sz w:val="24"/>
          <w:szCs w:val="24"/>
          <w:lang w:eastAsia="en-GB"/>
        </w:rPr>
        <w:t xml:space="preserve">Duties and </w:t>
      </w:r>
      <w:r w:rsidR="00A32F72">
        <w:rPr>
          <w:rFonts w:ascii="Calibri" w:eastAsia="Times New Roman" w:hAnsi="Calibri" w:cs="Arial"/>
          <w:b/>
          <w:bCs/>
          <w:sz w:val="24"/>
          <w:szCs w:val="24"/>
          <w:lang w:eastAsia="en-GB"/>
        </w:rPr>
        <w:t>Responsibilities</w:t>
      </w:r>
    </w:p>
    <w:p w14:paraId="305A1003" w14:textId="64CAAA96" w:rsidR="00AA6C47" w:rsidRPr="00AA6C47" w:rsidRDefault="0011049E" w:rsidP="001A6028">
      <w:pPr>
        <w:pStyle w:val="ListParagraph"/>
        <w:numPr>
          <w:ilvl w:val="0"/>
          <w:numId w:val="6"/>
        </w:numPr>
        <w:spacing w:after="60" w:line="259" w:lineRule="auto"/>
        <w:ind w:left="721" w:hanging="437"/>
        <w:contextualSpacing w:val="0"/>
        <w:rPr>
          <w:rFonts w:cstheme="minorHAnsi"/>
          <w:sz w:val="24"/>
          <w:szCs w:val="24"/>
        </w:rPr>
      </w:pPr>
      <w:r>
        <w:rPr>
          <w:rFonts w:cstheme="minorHAnsi"/>
          <w:sz w:val="24"/>
          <w:szCs w:val="24"/>
        </w:rPr>
        <w:t>Lead</w:t>
      </w:r>
      <w:r w:rsidR="00AA6C47" w:rsidRPr="00AA6C47">
        <w:rPr>
          <w:rFonts w:cstheme="minorHAnsi"/>
          <w:sz w:val="24"/>
          <w:szCs w:val="24"/>
        </w:rPr>
        <w:t xml:space="preserve"> and coordinate public health expertise into key SWL ICS programmes, strategies and groups </w:t>
      </w:r>
      <w:r w:rsidR="005A1F8F">
        <w:rPr>
          <w:rFonts w:cstheme="minorHAnsi"/>
          <w:sz w:val="24"/>
          <w:szCs w:val="24"/>
        </w:rPr>
        <w:t>working closely</w:t>
      </w:r>
      <w:r w:rsidR="002521EA">
        <w:rPr>
          <w:rFonts w:cstheme="minorHAnsi"/>
          <w:sz w:val="24"/>
          <w:szCs w:val="24"/>
        </w:rPr>
        <w:t xml:space="preserve"> with</w:t>
      </w:r>
      <w:r w:rsidR="005A1F8F">
        <w:rPr>
          <w:rFonts w:cstheme="minorHAnsi"/>
          <w:sz w:val="24"/>
          <w:szCs w:val="24"/>
        </w:rPr>
        <w:t xml:space="preserve"> DPHs, wider borough partners including politicians</w:t>
      </w:r>
      <w:r w:rsidR="002521EA">
        <w:rPr>
          <w:rFonts w:cstheme="minorHAnsi"/>
          <w:sz w:val="24"/>
          <w:szCs w:val="24"/>
        </w:rPr>
        <w:t xml:space="preserve">, </w:t>
      </w:r>
      <w:proofErr w:type="gramStart"/>
      <w:r w:rsidR="002521EA">
        <w:rPr>
          <w:rFonts w:cstheme="minorHAnsi"/>
          <w:sz w:val="24"/>
          <w:szCs w:val="24"/>
        </w:rPr>
        <w:t>NHS</w:t>
      </w:r>
      <w:proofErr w:type="gramEnd"/>
      <w:r w:rsidR="002521EA">
        <w:rPr>
          <w:rFonts w:cstheme="minorHAnsi"/>
          <w:sz w:val="24"/>
          <w:szCs w:val="24"/>
        </w:rPr>
        <w:t xml:space="preserve"> and wider ICS partners</w:t>
      </w:r>
    </w:p>
    <w:p w14:paraId="0A250568" w14:textId="5545CF05" w:rsidR="00AA6C47" w:rsidRPr="00AA6C47" w:rsidRDefault="00AA6C47" w:rsidP="001A6028">
      <w:pPr>
        <w:pStyle w:val="ListParagraph"/>
        <w:numPr>
          <w:ilvl w:val="0"/>
          <w:numId w:val="6"/>
        </w:numPr>
        <w:spacing w:after="60" w:line="259" w:lineRule="auto"/>
        <w:ind w:left="721" w:hanging="437"/>
        <w:contextualSpacing w:val="0"/>
        <w:rPr>
          <w:rFonts w:cstheme="minorHAnsi"/>
          <w:sz w:val="24"/>
          <w:szCs w:val="24"/>
        </w:rPr>
      </w:pPr>
      <w:r w:rsidRPr="00AA6C47">
        <w:rPr>
          <w:rFonts w:cstheme="minorHAnsi"/>
          <w:sz w:val="24"/>
          <w:szCs w:val="24"/>
        </w:rPr>
        <w:t xml:space="preserve">Support the development of an effective </w:t>
      </w:r>
      <w:r w:rsidR="008F0EB9">
        <w:rPr>
          <w:rFonts w:cstheme="minorHAnsi"/>
          <w:sz w:val="24"/>
          <w:szCs w:val="24"/>
        </w:rPr>
        <w:t>population health management</w:t>
      </w:r>
      <w:r w:rsidRPr="00AA6C47">
        <w:rPr>
          <w:rFonts w:cstheme="minorHAnsi"/>
          <w:sz w:val="24"/>
          <w:szCs w:val="24"/>
        </w:rPr>
        <w:t xml:space="preserve"> approach across SWL</w:t>
      </w:r>
      <w:r w:rsidR="00B01636">
        <w:rPr>
          <w:rFonts w:cstheme="minorHAnsi"/>
          <w:sz w:val="24"/>
          <w:szCs w:val="24"/>
        </w:rPr>
        <w:t xml:space="preserve">, </w:t>
      </w:r>
      <w:proofErr w:type="gramStart"/>
      <w:r w:rsidRPr="00AA6C47">
        <w:rPr>
          <w:rFonts w:cstheme="minorHAnsi"/>
          <w:sz w:val="24"/>
          <w:szCs w:val="24"/>
        </w:rPr>
        <w:t>in particular ensuring</w:t>
      </w:r>
      <w:proofErr w:type="gramEnd"/>
      <w:r w:rsidRPr="00AA6C47">
        <w:rPr>
          <w:rFonts w:cstheme="minorHAnsi"/>
          <w:sz w:val="24"/>
          <w:szCs w:val="24"/>
        </w:rPr>
        <w:t xml:space="preserve"> this is fully joint between health and local authorities, working closely with the interim ICS </w:t>
      </w:r>
      <w:r w:rsidR="0077660E">
        <w:rPr>
          <w:rFonts w:cstheme="minorHAnsi"/>
          <w:sz w:val="24"/>
          <w:szCs w:val="24"/>
        </w:rPr>
        <w:t>SRO for</w:t>
      </w:r>
      <w:r w:rsidRPr="00AA6C47">
        <w:rPr>
          <w:rFonts w:cstheme="minorHAnsi"/>
          <w:sz w:val="24"/>
          <w:szCs w:val="24"/>
        </w:rPr>
        <w:t xml:space="preserve"> Population Health Management</w:t>
      </w:r>
      <w:r w:rsidR="008E0924">
        <w:rPr>
          <w:rFonts w:cstheme="minorHAnsi"/>
          <w:sz w:val="24"/>
          <w:szCs w:val="24"/>
        </w:rPr>
        <w:t xml:space="preserve"> and PHM Steering Group</w:t>
      </w:r>
    </w:p>
    <w:p w14:paraId="494D10BE" w14:textId="5DB7154C" w:rsidR="00AA6C47" w:rsidRPr="00AA6C47" w:rsidRDefault="00AA6C47" w:rsidP="001A6028">
      <w:pPr>
        <w:pStyle w:val="ListParagraph"/>
        <w:numPr>
          <w:ilvl w:val="0"/>
          <w:numId w:val="6"/>
        </w:numPr>
        <w:spacing w:after="60" w:line="259" w:lineRule="auto"/>
        <w:ind w:left="721" w:hanging="437"/>
        <w:contextualSpacing w:val="0"/>
        <w:rPr>
          <w:rFonts w:cstheme="minorHAnsi"/>
          <w:sz w:val="24"/>
          <w:szCs w:val="24"/>
        </w:rPr>
      </w:pPr>
      <w:r w:rsidRPr="00AA6C47">
        <w:rPr>
          <w:rFonts w:cstheme="minorHAnsi"/>
          <w:sz w:val="24"/>
          <w:szCs w:val="24"/>
        </w:rPr>
        <w:t xml:space="preserve">Ensure </w:t>
      </w:r>
      <w:r w:rsidR="008F0EB9">
        <w:rPr>
          <w:rFonts w:cstheme="minorHAnsi"/>
          <w:sz w:val="24"/>
          <w:szCs w:val="24"/>
        </w:rPr>
        <w:t>public health</w:t>
      </w:r>
      <w:r w:rsidRPr="00AA6C47">
        <w:rPr>
          <w:rFonts w:cstheme="minorHAnsi"/>
          <w:sz w:val="24"/>
          <w:szCs w:val="24"/>
        </w:rPr>
        <w:t xml:space="preserve"> input into the development and operation of the SWL ICP including the development of an integrated care strategy</w:t>
      </w:r>
    </w:p>
    <w:p w14:paraId="2C881813" w14:textId="140D80C2" w:rsidR="00AA6C47" w:rsidRPr="00AA6C47" w:rsidRDefault="00BA09F3" w:rsidP="001A6028">
      <w:pPr>
        <w:pStyle w:val="ListParagraph"/>
        <w:numPr>
          <w:ilvl w:val="0"/>
          <w:numId w:val="6"/>
        </w:numPr>
        <w:spacing w:after="60" w:line="259" w:lineRule="auto"/>
        <w:ind w:left="721" w:hanging="437"/>
        <w:contextualSpacing w:val="0"/>
        <w:rPr>
          <w:rFonts w:cstheme="minorHAnsi"/>
          <w:sz w:val="24"/>
          <w:szCs w:val="24"/>
        </w:rPr>
      </w:pPr>
      <w:r>
        <w:rPr>
          <w:rFonts w:cstheme="minorHAnsi"/>
          <w:sz w:val="24"/>
          <w:szCs w:val="24"/>
        </w:rPr>
        <w:t>Lead</w:t>
      </w:r>
      <w:r w:rsidR="00AA6C47" w:rsidRPr="00AA6C47">
        <w:rPr>
          <w:rFonts w:cstheme="minorHAnsi"/>
          <w:sz w:val="24"/>
          <w:szCs w:val="24"/>
        </w:rPr>
        <w:t xml:space="preserve"> </w:t>
      </w:r>
      <w:r w:rsidR="008F0EB9">
        <w:rPr>
          <w:rFonts w:cstheme="minorHAnsi"/>
          <w:sz w:val="24"/>
          <w:szCs w:val="24"/>
        </w:rPr>
        <w:t>public health</w:t>
      </w:r>
      <w:r w:rsidR="00AA6C47" w:rsidRPr="00AA6C47">
        <w:rPr>
          <w:rFonts w:cstheme="minorHAnsi"/>
          <w:sz w:val="24"/>
          <w:szCs w:val="24"/>
        </w:rPr>
        <w:t xml:space="preserve"> input into the development and delivery of the </w:t>
      </w:r>
      <w:r w:rsidR="009E6B29">
        <w:rPr>
          <w:rFonts w:cstheme="minorHAnsi"/>
          <w:sz w:val="24"/>
          <w:szCs w:val="24"/>
        </w:rPr>
        <w:t xml:space="preserve">SWL ICS </w:t>
      </w:r>
      <w:r w:rsidR="00AA6C47" w:rsidRPr="00AA6C47">
        <w:rPr>
          <w:rFonts w:cstheme="minorHAnsi"/>
          <w:sz w:val="24"/>
          <w:szCs w:val="24"/>
        </w:rPr>
        <w:t>Strengthening Communities Programme</w:t>
      </w:r>
    </w:p>
    <w:p w14:paraId="7C105C94" w14:textId="6C7040AD" w:rsidR="00AA6C47" w:rsidRDefault="00AA6C47" w:rsidP="001A6028">
      <w:pPr>
        <w:pStyle w:val="ListParagraph"/>
        <w:numPr>
          <w:ilvl w:val="0"/>
          <w:numId w:val="6"/>
        </w:numPr>
        <w:spacing w:after="60" w:line="259" w:lineRule="auto"/>
        <w:ind w:left="721" w:hanging="437"/>
        <w:contextualSpacing w:val="0"/>
        <w:rPr>
          <w:rFonts w:cstheme="minorHAnsi"/>
          <w:sz w:val="24"/>
          <w:szCs w:val="24"/>
        </w:rPr>
      </w:pPr>
      <w:r w:rsidRPr="00AA6C47">
        <w:rPr>
          <w:rFonts w:cstheme="minorHAnsi"/>
          <w:sz w:val="24"/>
          <w:szCs w:val="24"/>
        </w:rPr>
        <w:t xml:space="preserve">Help </w:t>
      </w:r>
      <w:r w:rsidR="007C267C">
        <w:rPr>
          <w:rFonts w:cstheme="minorHAnsi"/>
          <w:sz w:val="24"/>
          <w:szCs w:val="24"/>
        </w:rPr>
        <w:t>shape the</w:t>
      </w:r>
      <w:r w:rsidRPr="00AA6C47">
        <w:rPr>
          <w:rFonts w:cstheme="minorHAnsi"/>
          <w:sz w:val="24"/>
          <w:szCs w:val="24"/>
        </w:rPr>
        <w:t xml:space="preserve"> </w:t>
      </w:r>
      <w:r w:rsidR="007C267C">
        <w:rPr>
          <w:rFonts w:cstheme="minorHAnsi"/>
          <w:sz w:val="24"/>
          <w:szCs w:val="24"/>
        </w:rPr>
        <w:t>ICS</w:t>
      </w:r>
      <w:r w:rsidR="00DB5E72">
        <w:rPr>
          <w:rFonts w:cstheme="minorHAnsi"/>
          <w:sz w:val="24"/>
          <w:szCs w:val="24"/>
        </w:rPr>
        <w:t xml:space="preserve"> approach to</w:t>
      </w:r>
      <w:r w:rsidRPr="00AA6C47">
        <w:rPr>
          <w:rFonts w:cstheme="minorHAnsi"/>
          <w:sz w:val="24"/>
          <w:szCs w:val="24"/>
        </w:rPr>
        <w:t xml:space="preserve"> </w:t>
      </w:r>
      <w:r w:rsidR="00DB5E72">
        <w:rPr>
          <w:rFonts w:cstheme="minorHAnsi"/>
          <w:sz w:val="24"/>
          <w:szCs w:val="24"/>
        </w:rPr>
        <w:t xml:space="preserve">effectively </w:t>
      </w:r>
      <w:r w:rsidRPr="00AA6C47">
        <w:rPr>
          <w:rFonts w:cstheme="minorHAnsi"/>
          <w:sz w:val="24"/>
          <w:szCs w:val="24"/>
        </w:rPr>
        <w:t xml:space="preserve">tackling health </w:t>
      </w:r>
      <w:proofErr w:type="gramStart"/>
      <w:r w:rsidRPr="00AA6C47">
        <w:rPr>
          <w:rFonts w:cstheme="minorHAnsi"/>
          <w:sz w:val="24"/>
          <w:szCs w:val="24"/>
        </w:rPr>
        <w:t>inequalities</w:t>
      </w:r>
      <w:r w:rsidR="004A0EC7">
        <w:rPr>
          <w:rFonts w:cstheme="minorHAnsi"/>
          <w:sz w:val="24"/>
          <w:szCs w:val="24"/>
        </w:rPr>
        <w:t>;</w:t>
      </w:r>
      <w:proofErr w:type="gramEnd"/>
      <w:r w:rsidR="004A0EC7">
        <w:rPr>
          <w:rFonts w:cstheme="minorHAnsi"/>
          <w:sz w:val="24"/>
          <w:szCs w:val="24"/>
        </w:rPr>
        <w:t xml:space="preserve"> in particular </w:t>
      </w:r>
      <w:r w:rsidR="0011049E">
        <w:rPr>
          <w:rFonts w:cstheme="minorHAnsi"/>
          <w:sz w:val="24"/>
          <w:szCs w:val="24"/>
        </w:rPr>
        <w:t>the</w:t>
      </w:r>
      <w:r w:rsidR="00F56A80">
        <w:rPr>
          <w:rFonts w:cstheme="minorHAnsi"/>
          <w:sz w:val="24"/>
          <w:szCs w:val="24"/>
        </w:rPr>
        <w:t xml:space="preserve"> focus on wider determinants</w:t>
      </w:r>
    </w:p>
    <w:p w14:paraId="0FFEE0E9" w14:textId="73FA3FFB" w:rsidR="007A78B5" w:rsidRDefault="002E6019" w:rsidP="001A6028">
      <w:pPr>
        <w:pStyle w:val="ListParagraph"/>
        <w:numPr>
          <w:ilvl w:val="0"/>
          <w:numId w:val="6"/>
        </w:numPr>
        <w:spacing w:after="60" w:line="240" w:lineRule="auto"/>
        <w:ind w:left="721" w:hanging="437"/>
        <w:contextualSpacing w:val="0"/>
        <w:rPr>
          <w:rFonts w:ascii="Calibri" w:eastAsia="Times New Roman" w:hAnsi="Calibri" w:cs="Arial"/>
          <w:sz w:val="24"/>
          <w:szCs w:val="24"/>
          <w:lang w:eastAsia="en-GB"/>
        </w:rPr>
      </w:pPr>
      <w:r>
        <w:rPr>
          <w:rFonts w:ascii="Calibri" w:eastAsia="Times New Roman" w:hAnsi="Calibri" w:cs="Arial"/>
          <w:sz w:val="24"/>
          <w:szCs w:val="24"/>
          <w:lang w:eastAsia="en-GB"/>
        </w:rPr>
        <w:t>Lead</w:t>
      </w:r>
      <w:r w:rsidR="007A78B5" w:rsidRPr="007A78B5">
        <w:rPr>
          <w:rFonts w:ascii="Calibri" w:eastAsia="Times New Roman" w:hAnsi="Calibri" w:cs="Arial"/>
          <w:sz w:val="24"/>
          <w:szCs w:val="24"/>
          <w:lang w:eastAsia="en-GB"/>
        </w:rPr>
        <w:t xml:space="preserve"> and oversee system level data analyses to help understand key issues and challenges and inform solutions </w:t>
      </w:r>
    </w:p>
    <w:p w14:paraId="62757FC9" w14:textId="051113F5" w:rsidR="002A6B1D" w:rsidRDefault="002A6B1D" w:rsidP="001A6028">
      <w:pPr>
        <w:pStyle w:val="ListParagraph"/>
        <w:numPr>
          <w:ilvl w:val="0"/>
          <w:numId w:val="6"/>
        </w:numPr>
        <w:spacing w:after="60" w:line="240" w:lineRule="auto"/>
        <w:ind w:left="721" w:hanging="437"/>
        <w:contextualSpacing w:val="0"/>
        <w:rPr>
          <w:rFonts w:ascii="Calibri" w:eastAsia="Times New Roman" w:hAnsi="Calibri" w:cs="Arial"/>
          <w:sz w:val="24"/>
          <w:szCs w:val="24"/>
          <w:lang w:eastAsia="en-GB"/>
        </w:rPr>
      </w:pPr>
      <w:r>
        <w:rPr>
          <w:rFonts w:ascii="Calibri" w:eastAsia="Times New Roman" w:hAnsi="Calibri" w:cs="Arial"/>
          <w:sz w:val="24"/>
          <w:szCs w:val="24"/>
          <w:lang w:eastAsia="en-GB"/>
        </w:rPr>
        <w:t>Work with SWL NHS to ensure access to</w:t>
      </w:r>
      <w:r w:rsidR="004D19DE">
        <w:rPr>
          <w:rFonts w:ascii="Calibri" w:eastAsia="Times New Roman" w:hAnsi="Calibri" w:cs="Arial"/>
          <w:sz w:val="24"/>
          <w:szCs w:val="24"/>
          <w:lang w:eastAsia="en-GB"/>
        </w:rPr>
        <w:t xml:space="preserve"> NHS data </w:t>
      </w:r>
      <w:r w:rsidR="00522798">
        <w:rPr>
          <w:rFonts w:ascii="Calibri" w:eastAsia="Times New Roman" w:hAnsi="Calibri" w:cs="Arial"/>
          <w:sz w:val="24"/>
          <w:szCs w:val="24"/>
          <w:lang w:eastAsia="en-GB"/>
        </w:rPr>
        <w:t>for</w:t>
      </w:r>
      <w:r w:rsidR="004D19DE">
        <w:rPr>
          <w:rFonts w:ascii="Calibri" w:eastAsia="Times New Roman" w:hAnsi="Calibri" w:cs="Arial"/>
          <w:sz w:val="24"/>
          <w:szCs w:val="24"/>
          <w:lang w:eastAsia="en-GB"/>
        </w:rPr>
        <w:t xml:space="preserve"> public health </w:t>
      </w:r>
      <w:r w:rsidR="00DF3DDB">
        <w:rPr>
          <w:rFonts w:ascii="Calibri" w:eastAsia="Times New Roman" w:hAnsi="Calibri" w:cs="Arial"/>
          <w:sz w:val="24"/>
          <w:szCs w:val="24"/>
          <w:lang w:eastAsia="en-GB"/>
        </w:rPr>
        <w:t>analyses</w:t>
      </w:r>
    </w:p>
    <w:p w14:paraId="4D4C74CB" w14:textId="77777777" w:rsidR="00AA6C47" w:rsidRPr="00AA6C47" w:rsidRDefault="00AA6C47" w:rsidP="001A6028">
      <w:pPr>
        <w:pStyle w:val="ListParagraph"/>
        <w:numPr>
          <w:ilvl w:val="0"/>
          <w:numId w:val="6"/>
        </w:numPr>
        <w:spacing w:after="60" w:line="259" w:lineRule="auto"/>
        <w:ind w:left="721" w:hanging="437"/>
        <w:contextualSpacing w:val="0"/>
        <w:rPr>
          <w:rFonts w:cstheme="minorHAnsi"/>
          <w:sz w:val="24"/>
          <w:szCs w:val="24"/>
        </w:rPr>
      </w:pPr>
      <w:r w:rsidRPr="00AA6C47">
        <w:rPr>
          <w:rFonts w:cstheme="minorHAnsi"/>
          <w:sz w:val="24"/>
          <w:szCs w:val="24"/>
        </w:rPr>
        <w:t xml:space="preserve">Facilitate sharing of evidence, good </w:t>
      </w:r>
      <w:proofErr w:type="gramStart"/>
      <w:r w:rsidRPr="00AA6C47">
        <w:rPr>
          <w:rFonts w:cstheme="minorHAnsi"/>
          <w:sz w:val="24"/>
          <w:szCs w:val="24"/>
        </w:rPr>
        <w:t>practice</w:t>
      </w:r>
      <w:proofErr w:type="gramEnd"/>
      <w:r w:rsidRPr="00AA6C47">
        <w:rPr>
          <w:rFonts w:cstheme="minorHAnsi"/>
          <w:sz w:val="24"/>
          <w:szCs w:val="24"/>
        </w:rPr>
        <w:t xml:space="preserve"> and intelligence across SWL</w:t>
      </w:r>
    </w:p>
    <w:p w14:paraId="09296ADD" w14:textId="6AAB0E02" w:rsidR="00AA6C47" w:rsidRPr="00AA6C47" w:rsidRDefault="00AA6C47" w:rsidP="001A6028">
      <w:pPr>
        <w:pStyle w:val="ListParagraph"/>
        <w:numPr>
          <w:ilvl w:val="0"/>
          <w:numId w:val="6"/>
        </w:numPr>
        <w:spacing w:after="60" w:line="259" w:lineRule="auto"/>
        <w:ind w:left="721" w:hanging="437"/>
        <w:contextualSpacing w:val="0"/>
        <w:rPr>
          <w:rFonts w:cstheme="minorHAnsi"/>
          <w:sz w:val="24"/>
          <w:szCs w:val="24"/>
        </w:rPr>
      </w:pPr>
      <w:r w:rsidRPr="00AA6C47">
        <w:rPr>
          <w:rFonts w:cstheme="minorHAnsi"/>
          <w:sz w:val="24"/>
          <w:szCs w:val="24"/>
        </w:rPr>
        <w:t xml:space="preserve">Develop longer term proposals for public health input into the </w:t>
      </w:r>
      <w:proofErr w:type="gramStart"/>
      <w:r w:rsidRPr="00AA6C47">
        <w:rPr>
          <w:rFonts w:cstheme="minorHAnsi"/>
          <w:sz w:val="24"/>
          <w:szCs w:val="24"/>
        </w:rPr>
        <w:t xml:space="preserve">ICS </w:t>
      </w:r>
      <w:r w:rsidR="009412A9">
        <w:rPr>
          <w:rFonts w:cstheme="minorHAnsi"/>
          <w:sz w:val="24"/>
          <w:szCs w:val="24"/>
        </w:rPr>
        <w:t xml:space="preserve"> -</w:t>
      </w:r>
      <w:proofErr w:type="gramEnd"/>
      <w:r w:rsidR="009412A9">
        <w:rPr>
          <w:rFonts w:cstheme="minorHAnsi"/>
          <w:sz w:val="24"/>
          <w:szCs w:val="24"/>
        </w:rPr>
        <w:t xml:space="preserve"> </w:t>
      </w:r>
      <w:r w:rsidRPr="00AA6C47">
        <w:rPr>
          <w:rFonts w:cstheme="minorHAnsi"/>
          <w:sz w:val="24"/>
          <w:szCs w:val="24"/>
        </w:rPr>
        <w:t xml:space="preserve">by September 2022 </w:t>
      </w:r>
    </w:p>
    <w:p w14:paraId="14F54EF8" w14:textId="76706575" w:rsidR="00AA6C47" w:rsidRDefault="00AA6C47" w:rsidP="001A6028">
      <w:pPr>
        <w:pStyle w:val="ListParagraph"/>
        <w:numPr>
          <w:ilvl w:val="0"/>
          <w:numId w:val="6"/>
        </w:numPr>
        <w:spacing w:after="60" w:line="259" w:lineRule="auto"/>
        <w:ind w:left="721" w:hanging="437"/>
        <w:contextualSpacing w:val="0"/>
        <w:rPr>
          <w:rFonts w:cstheme="minorHAnsi"/>
          <w:sz w:val="24"/>
          <w:szCs w:val="24"/>
        </w:rPr>
      </w:pPr>
      <w:r w:rsidRPr="00AA6C47">
        <w:rPr>
          <w:rFonts w:cstheme="minorHAnsi"/>
          <w:sz w:val="24"/>
          <w:szCs w:val="24"/>
        </w:rPr>
        <w:t xml:space="preserve">Support </w:t>
      </w:r>
      <w:r w:rsidR="00DB5E72">
        <w:rPr>
          <w:rFonts w:cstheme="minorHAnsi"/>
          <w:sz w:val="24"/>
          <w:szCs w:val="24"/>
        </w:rPr>
        <w:t>sub-regional</w:t>
      </w:r>
      <w:r w:rsidRPr="00AA6C47">
        <w:rPr>
          <w:rFonts w:cstheme="minorHAnsi"/>
          <w:sz w:val="24"/>
          <w:szCs w:val="24"/>
        </w:rPr>
        <w:t xml:space="preserve"> response to Covid pandemic particularly full and equitable take up of Covid </w:t>
      </w:r>
      <w:r w:rsidR="00DB5E72">
        <w:rPr>
          <w:rFonts w:cstheme="minorHAnsi"/>
          <w:sz w:val="24"/>
          <w:szCs w:val="24"/>
        </w:rPr>
        <w:t xml:space="preserve">and Flu </w:t>
      </w:r>
      <w:r w:rsidRPr="00AA6C47">
        <w:rPr>
          <w:rFonts w:cstheme="minorHAnsi"/>
          <w:sz w:val="24"/>
          <w:szCs w:val="24"/>
        </w:rPr>
        <w:t>vaccination</w:t>
      </w:r>
      <w:r w:rsidR="00DB5E72">
        <w:rPr>
          <w:rFonts w:cstheme="minorHAnsi"/>
          <w:sz w:val="24"/>
          <w:szCs w:val="24"/>
        </w:rPr>
        <w:t>s</w:t>
      </w:r>
      <w:r w:rsidRPr="00AA6C47">
        <w:rPr>
          <w:rFonts w:cstheme="minorHAnsi"/>
          <w:sz w:val="24"/>
          <w:szCs w:val="24"/>
        </w:rPr>
        <w:t xml:space="preserve"> </w:t>
      </w:r>
    </w:p>
    <w:p w14:paraId="7E944870" w14:textId="67C487BC" w:rsidR="00AA6C47" w:rsidRPr="007A78B5" w:rsidRDefault="00F63E25" w:rsidP="001A6028">
      <w:pPr>
        <w:pStyle w:val="ListParagraph"/>
        <w:numPr>
          <w:ilvl w:val="0"/>
          <w:numId w:val="6"/>
        </w:numPr>
        <w:spacing w:after="60" w:line="259" w:lineRule="auto"/>
        <w:ind w:left="721" w:hanging="437"/>
        <w:contextualSpacing w:val="0"/>
        <w:rPr>
          <w:rFonts w:cstheme="minorHAnsi"/>
          <w:sz w:val="24"/>
          <w:szCs w:val="24"/>
        </w:rPr>
      </w:pPr>
      <w:r>
        <w:rPr>
          <w:rFonts w:cstheme="minorHAnsi"/>
          <w:sz w:val="24"/>
          <w:szCs w:val="24"/>
        </w:rPr>
        <w:t>Manage health inequalities analyst</w:t>
      </w:r>
    </w:p>
    <w:p w14:paraId="18EF363C" w14:textId="77777777" w:rsidR="007A78B5" w:rsidRDefault="007A78B5" w:rsidP="00A32F72">
      <w:pPr>
        <w:spacing w:after="120" w:line="240" w:lineRule="auto"/>
        <w:rPr>
          <w:rFonts w:ascii="Calibri" w:eastAsia="Times New Roman" w:hAnsi="Calibri" w:cs="Arial"/>
          <w:b/>
          <w:bCs/>
          <w:sz w:val="24"/>
          <w:szCs w:val="24"/>
          <w:lang w:eastAsia="en-GB"/>
        </w:rPr>
      </w:pPr>
    </w:p>
    <w:p w14:paraId="23609A9D" w14:textId="345E18EE" w:rsidR="00A32F72" w:rsidRDefault="00A32F72" w:rsidP="00A32F72">
      <w:pPr>
        <w:spacing w:after="120" w:line="240" w:lineRule="auto"/>
        <w:rPr>
          <w:rFonts w:ascii="Calibri" w:eastAsia="Times New Roman" w:hAnsi="Calibri" w:cs="Arial"/>
          <w:b/>
          <w:bCs/>
          <w:sz w:val="24"/>
          <w:szCs w:val="24"/>
          <w:lang w:eastAsia="en-GB"/>
        </w:rPr>
      </w:pPr>
      <w:r>
        <w:rPr>
          <w:rFonts w:ascii="Calibri" w:eastAsia="Times New Roman" w:hAnsi="Calibri" w:cs="Arial"/>
          <w:b/>
          <w:bCs/>
          <w:sz w:val="24"/>
          <w:szCs w:val="24"/>
          <w:lang w:eastAsia="en-GB"/>
        </w:rPr>
        <w:t>Skills and Experience Required</w:t>
      </w:r>
    </w:p>
    <w:p w14:paraId="121368C2" w14:textId="350331B8" w:rsidR="00A32F72" w:rsidRPr="007A78B5" w:rsidRDefault="00EB56E1" w:rsidP="00BA71AC">
      <w:pPr>
        <w:rPr>
          <w:sz w:val="24"/>
          <w:szCs w:val="24"/>
        </w:rPr>
      </w:pPr>
      <w:r w:rsidRPr="007A78B5">
        <w:rPr>
          <w:sz w:val="24"/>
          <w:szCs w:val="24"/>
        </w:rPr>
        <w:t xml:space="preserve">In delivering these responsibilities, the postholder is expected to demonstrate expertise across the full range of relevant competencies as set out by the Faculty of Public Health (FPH) in Appendix 1. In negotiation with the </w:t>
      </w:r>
      <w:proofErr w:type="spellStart"/>
      <w:r w:rsidRPr="007A78B5">
        <w:rPr>
          <w:sz w:val="24"/>
          <w:szCs w:val="24"/>
        </w:rPr>
        <w:t>D</w:t>
      </w:r>
      <w:r w:rsidR="00A201D6">
        <w:rPr>
          <w:sz w:val="24"/>
          <w:szCs w:val="24"/>
        </w:rPr>
        <w:t>s</w:t>
      </w:r>
      <w:r w:rsidRPr="007A78B5">
        <w:rPr>
          <w:sz w:val="24"/>
          <w:szCs w:val="24"/>
        </w:rPr>
        <w:t>PH</w:t>
      </w:r>
      <w:proofErr w:type="spellEnd"/>
      <w:r w:rsidRPr="007A78B5">
        <w:rPr>
          <w:sz w:val="24"/>
          <w:szCs w:val="24"/>
        </w:rPr>
        <w:t xml:space="preserve">, the postholder may be asked to take on responsibilities that are underpinned by any of the FPH competencies. Postholders will be expected to maintain both the general expertise as well as develop topic-based expertise as required by the </w:t>
      </w:r>
      <w:proofErr w:type="spellStart"/>
      <w:r w:rsidRPr="007A78B5">
        <w:rPr>
          <w:sz w:val="24"/>
          <w:szCs w:val="24"/>
        </w:rPr>
        <w:t>D</w:t>
      </w:r>
      <w:r w:rsidR="00A201D6">
        <w:rPr>
          <w:sz w:val="24"/>
          <w:szCs w:val="24"/>
        </w:rPr>
        <w:t>s</w:t>
      </w:r>
      <w:r w:rsidRPr="007A78B5">
        <w:rPr>
          <w:sz w:val="24"/>
          <w:szCs w:val="24"/>
        </w:rPr>
        <w:t>PH</w:t>
      </w:r>
      <w:proofErr w:type="spellEnd"/>
      <w:r w:rsidRPr="007A78B5">
        <w:rPr>
          <w:sz w:val="24"/>
          <w:szCs w:val="24"/>
        </w:rPr>
        <w:t xml:space="preserve"> and will be expected to deputise for the </w:t>
      </w:r>
      <w:proofErr w:type="spellStart"/>
      <w:r w:rsidRPr="007A78B5">
        <w:rPr>
          <w:sz w:val="24"/>
          <w:szCs w:val="24"/>
        </w:rPr>
        <w:t>D</w:t>
      </w:r>
      <w:r w:rsidR="00A201D6">
        <w:rPr>
          <w:sz w:val="24"/>
          <w:szCs w:val="24"/>
        </w:rPr>
        <w:t>s</w:t>
      </w:r>
      <w:r w:rsidRPr="007A78B5">
        <w:rPr>
          <w:sz w:val="24"/>
          <w:szCs w:val="24"/>
        </w:rPr>
        <w:t>PH</w:t>
      </w:r>
      <w:proofErr w:type="spellEnd"/>
      <w:r w:rsidRPr="007A78B5">
        <w:rPr>
          <w:sz w:val="24"/>
          <w:szCs w:val="24"/>
        </w:rPr>
        <w:t xml:space="preserve"> as and when required</w:t>
      </w:r>
      <w:r w:rsidR="00CF2FA4" w:rsidRPr="007A78B5">
        <w:rPr>
          <w:sz w:val="24"/>
          <w:szCs w:val="24"/>
        </w:rPr>
        <w:t>.</w:t>
      </w:r>
    </w:p>
    <w:p w14:paraId="6BEC5A90" w14:textId="77777777" w:rsidR="00DF3F78" w:rsidRDefault="00DF3F78" w:rsidP="00BA71AC">
      <w:pPr>
        <w:rPr>
          <w:b/>
          <w:bCs/>
          <w:sz w:val="24"/>
          <w:szCs w:val="24"/>
        </w:rPr>
      </w:pPr>
    </w:p>
    <w:p w14:paraId="2548E324" w14:textId="07553C06" w:rsidR="00EB56E1" w:rsidRPr="00785429" w:rsidRDefault="00EB56E1" w:rsidP="00BA71AC">
      <w:pPr>
        <w:rPr>
          <w:b/>
          <w:bCs/>
          <w:sz w:val="24"/>
          <w:szCs w:val="24"/>
        </w:rPr>
      </w:pPr>
      <w:r w:rsidRPr="00785429">
        <w:rPr>
          <w:b/>
          <w:bCs/>
          <w:sz w:val="24"/>
          <w:szCs w:val="24"/>
        </w:rPr>
        <w:lastRenderedPageBreak/>
        <w:t xml:space="preserve">Management arrangements </w:t>
      </w:r>
    </w:p>
    <w:p w14:paraId="27A26A9B" w14:textId="7BF08353" w:rsidR="00EB56E1" w:rsidRPr="00785429" w:rsidRDefault="00EB56E1" w:rsidP="00BA71AC">
      <w:pPr>
        <w:rPr>
          <w:sz w:val="24"/>
          <w:szCs w:val="24"/>
        </w:rPr>
      </w:pPr>
      <w:r w:rsidRPr="00E31909">
        <w:rPr>
          <w:sz w:val="24"/>
          <w:szCs w:val="24"/>
        </w:rPr>
        <w:t xml:space="preserve">The post holder will be </w:t>
      </w:r>
      <w:r w:rsidR="001A7EE2" w:rsidRPr="00E31909">
        <w:rPr>
          <w:sz w:val="24"/>
          <w:szCs w:val="24"/>
        </w:rPr>
        <w:t xml:space="preserve">line managed by the SLP </w:t>
      </w:r>
      <w:r w:rsidR="00E31909" w:rsidRPr="00E31909">
        <w:rPr>
          <w:sz w:val="24"/>
          <w:szCs w:val="24"/>
        </w:rPr>
        <w:t>Health and Care Lead with professional management and supervision by the</w:t>
      </w:r>
      <w:r w:rsidRPr="00E31909">
        <w:rPr>
          <w:sz w:val="24"/>
          <w:szCs w:val="24"/>
        </w:rPr>
        <w:t xml:space="preserve"> Director</w:t>
      </w:r>
      <w:r w:rsidR="00900F72">
        <w:rPr>
          <w:sz w:val="24"/>
          <w:szCs w:val="24"/>
        </w:rPr>
        <w:t>s</w:t>
      </w:r>
      <w:r w:rsidRPr="00E31909">
        <w:rPr>
          <w:sz w:val="24"/>
          <w:szCs w:val="24"/>
        </w:rPr>
        <w:t xml:space="preserve"> of Public Health</w:t>
      </w:r>
      <w:r w:rsidR="00E31909" w:rsidRPr="00E31909">
        <w:rPr>
          <w:sz w:val="24"/>
          <w:szCs w:val="24"/>
        </w:rPr>
        <w:t xml:space="preserve"> </w:t>
      </w:r>
      <w:r w:rsidR="00A201D6">
        <w:rPr>
          <w:sz w:val="24"/>
          <w:szCs w:val="24"/>
        </w:rPr>
        <w:t>from</w:t>
      </w:r>
      <w:r w:rsidR="00E31909" w:rsidRPr="00E31909">
        <w:rPr>
          <w:sz w:val="24"/>
          <w:szCs w:val="24"/>
        </w:rPr>
        <w:t xml:space="preserve"> </w:t>
      </w:r>
      <w:r w:rsidR="00900F72">
        <w:rPr>
          <w:sz w:val="24"/>
          <w:szCs w:val="24"/>
        </w:rPr>
        <w:t>two</w:t>
      </w:r>
      <w:r w:rsidR="00E31909" w:rsidRPr="00E31909">
        <w:rPr>
          <w:sz w:val="24"/>
          <w:szCs w:val="24"/>
        </w:rPr>
        <w:t xml:space="preserve"> of the SLP boroughs</w:t>
      </w:r>
      <w:r w:rsidRPr="00E31909">
        <w:rPr>
          <w:sz w:val="24"/>
          <w:szCs w:val="24"/>
        </w:rPr>
        <w:t xml:space="preserve">. </w:t>
      </w:r>
      <w:r w:rsidR="00BC0485" w:rsidRPr="00E31909">
        <w:rPr>
          <w:sz w:val="24"/>
          <w:szCs w:val="24"/>
        </w:rPr>
        <w:t xml:space="preserve"> </w:t>
      </w:r>
      <w:r w:rsidRPr="00E31909">
        <w:rPr>
          <w:sz w:val="24"/>
          <w:szCs w:val="24"/>
        </w:rPr>
        <w:t xml:space="preserve">An initial job plan will be agreed with the successful candidate prior to </w:t>
      </w:r>
      <w:r w:rsidR="00900F72">
        <w:rPr>
          <w:sz w:val="24"/>
          <w:szCs w:val="24"/>
        </w:rPr>
        <w:t>the</w:t>
      </w:r>
      <w:r w:rsidRPr="00E31909">
        <w:rPr>
          <w:sz w:val="24"/>
          <w:szCs w:val="24"/>
        </w:rPr>
        <w:t xml:space="preserve"> individual taking up the post.</w:t>
      </w:r>
      <w:r w:rsidRPr="00785429">
        <w:rPr>
          <w:sz w:val="24"/>
          <w:szCs w:val="24"/>
        </w:rPr>
        <w:t xml:space="preserve"> </w:t>
      </w:r>
      <w:r w:rsidR="00522798">
        <w:rPr>
          <w:sz w:val="24"/>
          <w:szCs w:val="24"/>
        </w:rPr>
        <w:t xml:space="preserve"> It is</w:t>
      </w:r>
      <w:r w:rsidR="00245C6F">
        <w:rPr>
          <w:sz w:val="24"/>
          <w:szCs w:val="24"/>
        </w:rPr>
        <w:t xml:space="preserve"> </w:t>
      </w:r>
      <w:r w:rsidR="00A02E17">
        <w:rPr>
          <w:sz w:val="24"/>
          <w:szCs w:val="24"/>
        </w:rPr>
        <w:t>envisaged</w:t>
      </w:r>
      <w:r w:rsidR="00245C6F">
        <w:rPr>
          <w:sz w:val="24"/>
          <w:szCs w:val="24"/>
        </w:rPr>
        <w:t xml:space="preserve"> that the post-holder will have </w:t>
      </w:r>
      <w:proofErr w:type="gramStart"/>
      <w:r w:rsidR="00245C6F">
        <w:rPr>
          <w:sz w:val="24"/>
          <w:szCs w:val="24"/>
        </w:rPr>
        <w:t>a</w:t>
      </w:r>
      <w:proofErr w:type="gramEnd"/>
      <w:r w:rsidR="00245C6F">
        <w:rPr>
          <w:sz w:val="24"/>
          <w:szCs w:val="24"/>
        </w:rPr>
        <w:t xml:space="preserve"> honorary contract with SWL CCG to facilitate access to key data.</w:t>
      </w:r>
    </w:p>
    <w:p w14:paraId="51ABB8E4" w14:textId="77777777" w:rsidR="00EB56E1" w:rsidRPr="00CF2FA4" w:rsidRDefault="00EB56E1" w:rsidP="00BA71AC">
      <w:pPr>
        <w:rPr>
          <w:b/>
          <w:bCs/>
          <w:sz w:val="24"/>
          <w:szCs w:val="24"/>
        </w:rPr>
      </w:pPr>
      <w:r w:rsidRPr="00CF2FA4">
        <w:rPr>
          <w:b/>
          <w:bCs/>
          <w:sz w:val="24"/>
          <w:szCs w:val="24"/>
        </w:rPr>
        <w:t xml:space="preserve">Personal Qualities </w:t>
      </w:r>
    </w:p>
    <w:p w14:paraId="5C2BC7EF" w14:textId="5CDD3173" w:rsidR="00EB56E1" w:rsidRPr="00CF2FA4" w:rsidRDefault="00EB56E1" w:rsidP="00BA71AC">
      <w:pPr>
        <w:rPr>
          <w:sz w:val="24"/>
          <w:szCs w:val="24"/>
        </w:rPr>
      </w:pPr>
      <w:r w:rsidRPr="00CF2FA4">
        <w:rPr>
          <w:sz w:val="24"/>
          <w:szCs w:val="24"/>
        </w:rPr>
        <w:t>In general, the post holder will be expected to be able to cope with multiple and changing demands, and to meet tight deadlines. A high level of intellectual rigour, political awareness, negotiation and motivation skills and flexibility are required. The post holder will deal with complex public health issues, advis</w:t>
      </w:r>
      <w:r w:rsidR="00CF2FA4">
        <w:rPr>
          <w:sz w:val="24"/>
          <w:szCs w:val="24"/>
        </w:rPr>
        <w:t xml:space="preserve">ing Council Leaders, Chief Executives, </w:t>
      </w:r>
      <w:proofErr w:type="spellStart"/>
      <w:r w:rsidR="00CF2FA4">
        <w:rPr>
          <w:sz w:val="24"/>
          <w:szCs w:val="24"/>
        </w:rPr>
        <w:t>D</w:t>
      </w:r>
      <w:r w:rsidR="00A201D6">
        <w:rPr>
          <w:sz w:val="24"/>
          <w:szCs w:val="24"/>
        </w:rPr>
        <w:t>s</w:t>
      </w:r>
      <w:r w:rsidR="00CF2FA4">
        <w:rPr>
          <w:sz w:val="24"/>
          <w:szCs w:val="24"/>
        </w:rPr>
        <w:t>PH</w:t>
      </w:r>
      <w:proofErr w:type="spellEnd"/>
      <w:r w:rsidR="0089662D">
        <w:rPr>
          <w:sz w:val="24"/>
          <w:szCs w:val="24"/>
        </w:rPr>
        <w:t xml:space="preserve"> and senior council executives to </w:t>
      </w:r>
      <w:r w:rsidRPr="00CF2FA4">
        <w:rPr>
          <w:sz w:val="24"/>
          <w:szCs w:val="24"/>
        </w:rPr>
        <w:t>make recommendations regarding services, patient care and wider determinants of health. A high level of tact, diplomacy and leadership is required and an ability to understand other cultures, advise, challenge and advocate to enable effective working across organisational boundaries and influencing without direct authority.</w:t>
      </w:r>
    </w:p>
    <w:p w14:paraId="142FAA0C" w14:textId="77777777" w:rsidR="00242CC4" w:rsidRPr="007A78B5" w:rsidRDefault="00242CC4" w:rsidP="00242CC4">
      <w:pPr>
        <w:rPr>
          <w:b/>
          <w:bCs/>
          <w:sz w:val="24"/>
          <w:szCs w:val="24"/>
        </w:rPr>
      </w:pPr>
      <w:r w:rsidRPr="007A78B5">
        <w:rPr>
          <w:b/>
          <w:bCs/>
          <w:sz w:val="24"/>
          <w:szCs w:val="24"/>
        </w:rPr>
        <w:t>Generic Duties and Responsibilities</w:t>
      </w:r>
    </w:p>
    <w:p w14:paraId="796F9B6C" w14:textId="77777777" w:rsidR="00242CC4" w:rsidRPr="007A78B5" w:rsidRDefault="00242CC4" w:rsidP="00242CC4">
      <w:pPr>
        <w:rPr>
          <w:sz w:val="24"/>
          <w:szCs w:val="24"/>
        </w:rPr>
      </w:pPr>
      <w:r w:rsidRPr="007A78B5">
        <w:rPr>
          <w:sz w:val="24"/>
          <w:szCs w:val="24"/>
        </w:rPr>
        <w:t xml:space="preserve">• To adhere to security controls and requirements as mandated by the SSA’s policies, </w:t>
      </w:r>
      <w:proofErr w:type="gramStart"/>
      <w:r w:rsidRPr="007A78B5">
        <w:rPr>
          <w:sz w:val="24"/>
          <w:szCs w:val="24"/>
        </w:rPr>
        <w:t>procedures</w:t>
      </w:r>
      <w:proofErr w:type="gramEnd"/>
      <w:r w:rsidRPr="007A78B5">
        <w:rPr>
          <w:sz w:val="24"/>
          <w:szCs w:val="24"/>
        </w:rPr>
        <w:t xml:space="preserve"> and local risk assessments to maintain confidentiality, integrity, availability and legal compliance of information and systems. </w:t>
      </w:r>
    </w:p>
    <w:p w14:paraId="49AA88A0" w14:textId="77777777" w:rsidR="00242CC4" w:rsidRPr="007A78B5" w:rsidRDefault="00242CC4" w:rsidP="00242CC4">
      <w:pPr>
        <w:rPr>
          <w:sz w:val="24"/>
          <w:szCs w:val="24"/>
        </w:rPr>
      </w:pPr>
      <w:r w:rsidRPr="007A78B5">
        <w:rPr>
          <w:sz w:val="24"/>
          <w:szCs w:val="24"/>
        </w:rPr>
        <w:t xml:space="preserve">• To comply with relevant Codes of Practice, including the Code of Conduct, and policies concerning data protection and health and safety. </w:t>
      </w:r>
    </w:p>
    <w:p w14:paraId="2E484ED9" w14:textId="77777777" w:rsidR="00242CC4" w:rsidRPr="007A78B5" w:rsidRDefault="00242CC4" w:rsidP="00242CC4">
      <w:pPr>
        <w:rPr>
          <w:sz w:val="24"/>
          <w:szCs w:val="24"/>
        </w:rPr>
      </w:pPr>
      <w:r w:rsidRPr="007A78B5">
        <w:rPr>
          <w:sz w:val="24"/>
          <w:szCs w:val="24"/>
        </w:rPr>
        <w:t xml:space="preserve">• To promote equality, diversity, and inclusion, maintaining an awareness of the equality and diversity protocol/policy and work to create and maintain a safe, </w:t>
      </w:r>
      <w:proofErr w:type="gramStart"/>
      <w:r w:rsidRPr="007A78B5">
        <w:rPr>
          <w:sz w:val="24"/>
          <w:szCs w:val="24"/>
        </w:rPr>
        <w:t>supportive</w:t>
      </w:r>
      <w:proofErr w:type="gramEnd"/>
      <w:r w:rsidRPr="007A78B5">
        <w:rPr>
          <w:sz w:val="24"/>
          <w:szCs w:val="24"/>
        </w:rPr>
        <w:t xml:space="preserve"> and welcoming environment where all people are treated with dignity and their identity and culture are valued and respected. </w:t>
      </w:r>
    </w:p>
    <w:p w14:paraId="1C42A7E2" w14:textId="442F4CC3" w:rsidR="00EB56E1" w:rsidRDefault="00EB56E1" w:rsidP="00BA71AC"/>
    <w:p w14:paraId="087F08D4" w14:textId="77777777" w:rsidR="00116812" w:rsidRDefault="00116812">
      <w:pPr>
        <w:spacing w:after="160" w:line="259" w:lineRule="auto"/>
      </w:pPr>
    </w:p>
    <w:p w14:paraId="00357987" w14:textId="77777777" w:rsidR="00116812" w:rsidRDefault="00116812">
      <w:pPr>
        <w:spacing w:after="160" w:line="259" w:lineRule="auto"/>
      </w:pPr>
    </w:p>
    <w:p w14:paraId="44F2D488" w14:textId="77777777" w:rsidR="00116812" w:rsidRDefault="00116812">
      <w:pPr>
        <w:spacing w:after="160" w:line="259" w:lineRule="auto"/>
      </w:pPr>
    </w:p>
    <w:p w14:paraId="7BF17037" w14:textId="77777777" w:rsidR="00116812" w:rsidRDefault="00116812">
      <w:pPr>
        <w:spacing w:after="160" w:line="259" w:lineRule="auto"/>
      </w:pPr>
    </w:p>
    <w:p w14:paraId="3AC46170" w14:textId="77777777" w:rsidR="00116812" w:rsidRDefault="00116812">
      <w:pPr>
        <w:spacing w:after="160" w:line="259" w:lineRule="auto"/>
      </w:pPr>
    </w:p>
    <w:p w14:paraId="58E3998B" w14:textId="78D892B1" w:rsidR="0033711A" w:rsidRDefault="0033711A">
      <w:pPr>
        <w:spacing w:after="160" w:line="259" w:lineRule="auto"/>
      </w:pPr>
      <w:r>
        <w:br w:type="page"/>
      </w:r>
    </w:p>
    <w:p w14:paraId="4DB4A0F3" w14:textId="77777777" w:rsidR="009D2F24" w:rsidRDefault="00116812">
      <w:pPr>
        <w:spacing w:after="160" w:line="259" w:lineRule="auto"/>
        <w:rPr>
          <w:b/>
          <w:bCs/>
          <w:sz w:val="24"/>
          <w:szCs w:val="24"/>
        </w:rPr>
      </w:pPr>
      <w:r w:rsidRPr="00116812">
        <w:rPr>
          <w:b/>
          <w:bCs/>
          <w:sz w:val="24"/>
          <w:szCs w:val="24"/>
        </w:rPr>
        <w:lastRenderedPageBreak/>
        <w:t>Person Specification</w:t>
      </w:r>
    </w:p>
    <w:p w14:paraId="258F7667" w14:textId="13C3F3C6" w:rsidR="009D2F24" w:rsidRPr="00F11939" w:rsidRDefault="009D2F24" w:rsidP="009D2F24">
      <w:pPr>
        <w:spacing w:before="120"/>
        <w:rPr>
          <w:b/>
          <w:sz w:val="24"/>
        </w:rPr>
      </w:pPr>
      <w:r w:rsidRPr="00F11939">
        <w:rPr>
          <w:b/>
          <w:sz w:val="24"/>
        </w:rPr>
        <w:t>Our Values and Behaviours</w:t>
      </w:r>
      <w:r w:rsidR="006A7734">
        <w:rPr>
          <w:b/>
          <w:sz w:val="24"/>
        </w:rPr>
        <w:t xml:space="preserve"> </w:t>
      </w:r>
    </w:p>
    <w:p w14:paraId="0BBE0505" w14:textId="53AA98DA" w:rsidR="009D2F24" w:rsidRDefault="009D2F24" w:rsidP="009D2F24">
      <w:pPr>
        <w:rPr>
          <w:sz w:val="24"/>
        </w:rPr>
      </w:pPr>
      <w:r>
        <w:rPr>
          <w:sz w:val="24"/>
        </w:rPr>
        <w:t xml:space="preserve">As the SLP is hosted by Richmond Council, our values and behaviours </w:t>
      </w:r>
      <w:r w:rsidR="001D6DC0">
        <w:rPr>
          <w:sz w:val="24"/>
        </w:rPr>
        <w:t>are</w:t>
      </w:r>
      <w:r>
        <w:rPr>
          <w:sz w:val="24"/>
        </w:rPr>
        <w:t xml:space="preserve"> based on those for the council as part of the Richmond and Wandsworth Shared Staffing Arrangement (SSA), which expects staff to meet high standards.  The SSA values and behaviours are:</w:t>
      </w:r>
    </w:p>
    <w:p w14:paraId="29A811AA" w14:textId="10B0FCA6" w:rsidR="009D2F24" w:rsidRPr="0068067C" w:rsidRDefault="007D4579" w:rsidP="009D2F24">
      <w:pPr>
        <w:pStyle w:val="ListParagraph"/>
        <w:numPr>
          <w:ilvl w:val="0"/>
          <w:numId w:val="3"/>
        </w:numPr>
        <w:rPr>
          <w:sz w:val="24"/>
          <w:szCs w:val="24"/>
        </w:rPr>
      </w:pPr>
      <w:r w:rsidRPr="0068067C">
        <w:rPr>
          <w:b/>
          <w:bCs/>
          <w:sz w:val="24"/>
          <w:szCs w:val="24"/>
        </w:rPr>
        <w:t>Being open.</w:t>
      </w:r>
      <w:r w:rsidRPr="0068067C">
        <w:rPr>
          <w:sz w:val="24"/>
          <w:szCs w:val="24"/>
        </w:rPr>
        <w:t xml:space="preserve"> This means we share our views openly, honestly and in a thoughtful way. We encourage new ideas and ways of doing things. We appreciate and listen to feedback from each other</w:t>
      </w:r>
    </w:p>
    <w:p w14:paraId="7D000FB2" w14:textId="06670AD1" w:rsidR="007D4579" w:rsidRPr="0068067C" w:rsidRDefault="007D4579" w:rsidP="009D2F24">
      <w:pPr>
        <w:pStyle w:val="ListParagraph"/>
        <w:numPr>
          <w:ilvl w:val="0"/>
          <w:numId w:val="3"/>
        </w:numPr>
        <w:rPr>
          <w:sz w:val="24"/>
          <w:szCs w:val="24"/>
        </w:rPr>
      </w:pPr>
      <w:r w:rsidRPr="0068067C">
        <w:rPr>
          <w:b/>
          <w:bCs/>
          <w:sz w:val="24"/>
          <w:szCs w:val="24"/>
        </w:rPr>
        <w:t>Being supportive.</w:t>
      </w:r>
      <w:r w:rsidRPr="0068067C">
        <w:rPr>
          <w:sz w:val="24"/>
          <w:szCs w:val="24"/>
        </w:rPr>
        <w:t xml:space="preserve"> This means we drive the success of the organisation by making sure that our colleagues are successful. We encourage others and take account of the challenges they face. We help each other to do our jobs.</w:t>
      </w:r>
    </w:p>
    <w:p w14:paraId="422FFD89" w14:textId="59F3EF05" w:rsidR="007D4579" w:rsidRPr="0068067C" w:rsidRDefault="007D4579" w:rsidP="007D4579">
      <w:pPr>
        <w:pStyle w:val="ListParagraph"/>
        <w:numPr>
          <w:ilvl w:val="0"/>
          <w:numId w:val="3"/>
        </w:numPr>
        <w:spacing w:after="160" w:line="259" w:lineRule="auto"/>
        <w:rPr>
          <w:sz w:val="24"/>
          <w:szCs w:val="24"/>
        </w:rPr>
      </w:pPr>
      <w:r w:rsidRPr="0068067C">
        <w:rPr>
          <w:b/>
          <w:bCs/>
          <w:sz w:val="24"/>
          <w:szCs w:val="24"/>
        </w:rPr>
        <w:t>Being positive</w:t>
      </w:r>
      <w:r w:rsidRPr="0068067C">
        <w:rPr>
          <w:sz w:val="24"/>
          <w:szCs w:val="24"/>
        </w:rPr>
        <w:t xml:space="preserve">. Being </w:t>
      </w:r>
      <w:proofErr w:type="gramStart"/>
      <w:r w:rsidRPr="0068067C">
        <w:rPr>
          <w:sz w:val="24"/>
          <w:szCs w:val="24"/>
        </w:rPr>
        <w:t>positive and helpful means</w:t>
      </w:r>
      <w:proofErr w:type="gramEnd"/>
      <w:r w:rsidRPr="0068067C">
        <w:rPr>
          <w:sz w:val="24"/>
          <w:szCs w:val="24"/>
        </w:rPr>
        <w:t xml:space="preserve"> we keep our goals in mind and look for ways to achieve them. We listen constructively and help others see opportunities and the way forward. We have a ‘can do’ attitude and are continuously looking for ways to help each other improve.</w:t>
      </w:r>
    </w:p>
    <w:p w14:paraId="1C7D71F4" w14:textId="142921A1" w:rsidR="009D2F24" w:rsidRDefault="009D2F24" w:rsidP="009D2F24">
      <w:pPr>
        <w:rPr>
          <w:sz w:val="24"/>
        </w:rPr>
      </w:pPr>
      <w:r>
        <w:rPr>
          <w:sz w:val="24"/>
        </w:rPr>
        <w:t xml:space="preserve">Additional values and behaviours reflecting the specific functions of </w:t>
      </w:r>
      <w:r w:rsidR="007D4579">
        <w:rPr>
          <w:sz w:val="24"/>
        </w:rPr>
        <w:t>working</w:t>
      </w:r>
      <w:r>
        <w:rPr>
          <w:sz w:val="24"/>
        </w:rPr>
        <w:t xml:space="preserve"> sub-regional</w:t>
      </w:r>
      <w:r w:rsidR="007D4579">
        <w:rPr>
          <w:sz w:val="24"/>
        </w:rPr>
        <w:t>ly</w:t>
      </w:r>
      <w:r>
        <w:rPr>
          <w:sz w:val="24"/>
        </w:rPr>
        <w:t xml:space="preserve"> are:</w:t>
      </w:r>
    </w:p>
    <w:p w14:paraId="138954DE" w14:textId="4B0F4E36" w:rsidR="009D2F24" w:rsidRDefault="009D2F24" w:rsidP="009D2F24">
      <w:pPr>
        <w:pStyle w:val="ListParagraph"/>
        <w:numPr>
          <w:ilvl w:val="0"/>
          <w:numId w:val="3"/>
        </w:numPr>
        <w:rPr>
          <w:sz w:val="24"/>
        </w:rPr>
      </w:pPr>
      <w:r w:rsidRPr="0029078E">
        <w:rPr>
          <w:sz w:val="24"/>
        </w:rPr>
        <w:t xml:space="preserve">understanding and respecting the </w:t>
      </w:r>
      <w:r>
        <w:rPr>
          <w:sz w:val="24"/>
        </w:rPr>
        <w:t xml:space="preserve">perspectives, policies and </w:t>
      </w:r>
      <w:r w:rsidRPr="0029078E">
        <w:rPr>
          <w:sz w:val="24"/>
        </w:rPr>
        <w:t>practices of the different SLP member boroughs</w:t>
      </w:r>
      <w:r>
        <w:rPr>
          <w:sz w:val="24"/>
        </w:rPr>
        <w:t xml:space="preserve"> – the SLP team sees itself as part of the five boroughs</w:t>
      </w:r>
      <w:r w:rsidR="0068067C">
        <w:rPr>
          <w:sz w:val="24"/>
        </w:rPr>
        <w:t xml:space="preserve"> (six for health and care)</w:t>
      </w:r>
      <w:r>
        <w:rPr>
          <w:sz w:val="24"/>
        </w:rPr>
        <w:t xml:space="preserve"> it works with, helping them to work together effectively, not as a separate </w:t>
      </w:r>
      <w:proofErr w:type="gramStart"/>
      <w:r>
        <w:rPr>
          <w:sz w:val="24"/>
        </w:rPr>
        <w:t>entity;</w:t>
      </w:r>
      <w:proofErr w:type="gramEnd"/>
    </w:p>
    <w:p w14:paraId="1689771B" w14:textId="77777777" w:rsidR="009D2F24" w:rsidRDefault="009D2F24" w:rsidP="009D2F24">
      <w:pPr>
        <w:pStyle w:val="ListParagraph"/>
        <w:numPr>
          <w:ilvl w:val="0"/>
          <w:numId w:val="3"/>
        </w:numPr>
        <w:rPr>
          <w:sz w:val="24"/>
        </w:rPr>
      </w:pPr>
      <w:r w:rsidRPr="0029078E">
        <w:rPr>
          <w:sz w:val="24"/>
        </w:rPr>
        <w:t xml:space="preserve">continuously </w:t>
      </w:r>
      <w:r>
        <w:rPr>
          <w:sz w:val="24"/>
        </w:rPr>
        <w:t xml:space="preserve">ensuring that sub-regional working </w:t>
      </w:r>
      <w:r w:rsidRPr="0029078E">
        <w:rPr>
          <w:sz w:val="24"/>
        </w:rPr>
        <w:t>add</w:t>
      </w:r>
      <w:r>
        <w:rPr>
          <w:sz w:val="24"/>
        </w:rPr>
        <w:t>s</w:t>
      </w:r>
      <w:r w:rsidRPr="0029078E">
        <w:rPr>
          <w:sz w:val="24"/>
        </w:rPr>
        <w:t xml:space="preserve"> value </w:t>
      </w:r>
      <w:r>
        <w:rPr>
          <w:sz w:val="24"/>
        </w:rPr>
        <w:t xml:space="preserve">to what could be or is done locally – and that it has an impact on outcomes for residents, service users or </w:t>
      </w:r>
      <w:proofErr w:type="gramStart"/>
      <w:r>
        <w:rPr>
          <w:sz w:val="24"/>
        </w:rPr>
        <w:t>businesses;</w:t>
      </w:r>
      <w:proofErr w:type="gramEnd"/>
    </w:p>
    <w:p w14:paraId="32AB11F6" w14:textId="77777777" w:rsidR="009D2F24" w:rsidRPr="007629FD" w:rsidRDefault="009D2F24" w:rsidP="009D2F24">
      <w:pPr>
        <w:pStyle w:val="ListParagraph"/>
        <w:numPr>
          <w:ilvl w:val="0"/>
          <w:numId w:val="3"/>
        </w:numPr>
        <w:rPr>
          <w:sz w:val="24"/>
        </w:rPr>
      </w:pPr>
      <w:r>
        <w:rPr>
          <w:sz w:val="24"/>
        </w:rPr>
        <w:t xml:space="preserve">taking responsibility and being accountable for achieving the best possible outcomes – a ‘can do’ attitude to </w:t>
      </w:r>
      <w:proofErr w:type="gramStart"/>
      <w:r>
        <w:rPr>
          <w:sz w:val="24"/>
        </w:rPr>
        <w:t>work;</w:t>
      </w:r>
      <w:proofErr w:type="gramEnd"/>
    </w:p>
    <w:p w14:paraId="67DCEB53" w14:textId="77777777" w:rsidR="009D2F24" w:rsidRDefault="009D2F24" w:rsidP="009D2F24">
      <w:pPr>
        <w:pStyle w:val="ListParagraph"/>
        <w:numPr>
          <w:ilvl w:val="0"/>
          <w:numId w:val="3"/>
        </w:numPr>
        <w:rPr>
          <w:sz w:val="24"/>
        </w:rPr>
      </w:pPr>
      <w:r>
        <w:rPr>
          <w:sz w:val="24"/>
        </w:rPr>
        <w:t>continuously seeking better value for money and improved outcomes at lower cost; and</w:t>
      </w:r>
    </w:p>
    <w:p w14:paraId="213CAAA4" w14:textId="77777777" w:rsidR="009D2F24" w:rsidRDefault="009D2F24" w:rsidP="009D2F24">
      <w:pPr>
        <w:pStyle w:val="ListParagraph"/>
        <w:numPr>
          <w:ilvl w:val="0"/>
          <w:numId w:val="3"/>
        </w:numPr>
        <w:rPr>
          <w:sz w:val="24"/>
        </w:rPr>
      </w:pPr>
      <w:r>
        <w:rPr>
          <w:sz w:val="24"/>
        </w:rPr>
        <w:t>taking a team approach that values collaboration, partnership working and mutual support.</w:t>
      </w:r>
    </w:p>
    <w:p w14:paraId="2F6B271A" w14:textId="77777777" w:rsidR="009D2F24" w:rsidRDefault="009D2F24" w:rsidP="009D2F24">
      <w:pPr>
        <w:pStyle w:val="ListParagraph"/>
        <w:rPr>
          <w:sz w:val="24"/>
        </w:rPr>
      </w:pPr>
    </w:p>
    <w:p w14:paraId="0E15F7AE" w14:textId="7711F79D" w:rsidR="00DF3F78" w:rsidRPr="00DF3F78" w:rsidRDefault="00EB56E1" w:rsidP="00DF3F78">
      <w:pPr>
        <w:spacing w:after="160" w:line="259" w:lineRule="auto"/>
        <w:rPr>
          <w:b/>
          <w:bCs/>
          <w:sz w:val="24"/>
          <w:szCs w:val="24"/>
        </w:rPr>
      </w:pPr>
      <w:r w:rsidRPr="00116812">
        <w:rPr>
          <w:b/>
          <w:bCs/>
          <w:sz w:val="24"/>
          <w:szCs w:val="24"/>
        </w:rPr>
        <w:br w:type="page"/>
      </w:r>
    </w:p>
    <w:p w14:paraId="7BCB8774" w14:textId="77777777" w:rsidR="00DF3F78" w:rsidRPr="0059521B" w:rsidRDefault="00DF3F78" w:rsidP="00DF3F78">
      <w:pPr>
        <w:autoSpaceDE w:val="0"/>
        <w:autoSpaceDN w:val="0"/>
        <w:adjustRightInd w:val="0"/>
        <w:rPr>
          <w:rFonts w:cstheme="minorHAnsi"/>
          <w:b/>
        </w:rPr>
      </w:pPr>
      <w:r w:rsidRPr="0059521B">
        <w:rPr>
          <w:rFonts w:cstheme="minorHAnsi"/>
          <w:b/>
        </w:rPr>
        <w:lastRenderedPageBreak/>
        <w:t>South London Partnership</w:t>
      </w:r>
    </w:p>
    <w:p w14:paraId="24DA29B8" w14:textId="77777777" w:rsidR="00DF3F78" w:rsidRPr="00DF3F78" w:rsidRDefault="00DF3F78" w:rsidP="00DF3F78">
      <w:pPr>
        <w:rPr>
          <w:rFonts w:cstheme="minorHAnsi"/>
          <w:sz w:val="24"/>
          <w:szCs w:val="24"/>
        </w:rPr>
      </w:pPr>
      <w:r w:rsidRPr="00DF3F78">
        <w:rPr>
          <w:rFonts w:cstheme="minorHAnsi"/>
          <w:sz w:val="24"/>
          <w:szCs w:val="24"/>
        </w:rPr>
        <w:t xml:space="preserve">The South London Partnership (SLP) is a cross-party five borough sub-regional partnership of Croydon, Kingston upon Thames, Merton, Richmond upon </w:t>
      </w:r>
      <w:proofErr w:type="gramStart"/>
      <w:r w:rsidRPr="00DF3F78">
        <w:rPr>
          <w:rFonts w:cstheme="minorHAnsi"/>
          <w:sz w:val="24"/>
          <w:szCs w:val="24"/>
        </w:rPr>
        <w:t>Thames</w:t>
      </w:r>
      <w:proofErr w:type="gramEnd"/>
      <w:r w:rsidRPr="00DF3F78">
        <w:rPr>
          <w:rFonts w:cstheme="minorHAnsi"/>
          <w:sz w:val="24"/>
          <w:szCs w:val="24"/>
        </w:rPr>
        <w:t xml:space="preserve"> and Sutton plus Wandsworth for the purposes of health and care. </w:t>
      </w:r>
    </w:p>
    <w:p w14:paraId="0D4E30B1" w14:textId="77777777" w:rsidR="00DF3F78" w:rsidRPr="00DF3F78" w:rsidRDefault="00DF3F78" w:rsidP="00DF3F78">
      <w:pPr>
        <w:rPr>
          <w:rFonts w:cstheme="minorHAnsi"/>
          <w:sz w:val="24"/>
          <w:szCs w:val="24"/>
        </w:rPr>
      </w:pPr>
      <w:r w:rsidRPr="00DF3F78">
        <w:rPr>
          <w:rFonts w:cstheme="minorHAnsi"/>
          <w:sz w:val="24"/>
          <w:szCs w:val="24"/>
        </w:rPr>
        <w:t xml:space="preserve">The SLP team is made up of a small dynamic core team working closely with politicians, chief executives, senior </w:t>
      </w:r>
      <w:proofErr w:type="gramStart"/>
      <w:r w:rsidRPr="00DF3F78">
        <w:rPr>
          <w:rFonts w:cstheme="minorHAnsi"/>
          <w:sz w:val="24"/>
          <w:szCs w:val="24"/>
        </w:rPr>
        <w:t>managers</w:t>
      </w:r>
      <w:proofErr w:type="gramEnd"/>
      <w:r w:rsidRPr="00DF3F78">
        <w:rPr>
          <w:rFonts w:cstheme="minorHAnsi"/>
          <w:sz w:val="24"/>
          <w:szCs w:val="24"/>
        </w:rPr>
        <w:t xml:space="preserve"> and subject specialists in each of the five boroughs, as well as London and local stakeholders and partners. Together they have forged an ambitious programme of work that is securing greater sub-regional collaboration and traction on areas including health, skills and employment, </w:t>
      </w:r>
      <w:proofErr w:type="gramStart"/>
      <w:r w:rsidRPr="00DF3F78">
        <w:rPr>
          <w:rFonts w:cstheme="minorHAnsi"/>
          <w:sz w:val="24"/>
          <w:szCs w:val="24"/>
        </w:rPr>
        <w:t>economy</w:t>
      </w:r>
      <w:proofErr w:type="gramEnd"/>
      <w:r w:rsidRPr="00DF3F78">
        <w:rPr>
          <w:rFonts w:cstheme="minorHAnsi"/>
          <w:sz w:val="24"/>
          <w:szCs w:val="24"/>
        </w:rPr>
        <w:t xml:space="preserve"> and innovation. </w:t>
      </w:r>
    </w:p>
    <w:p w14:paraId="486055B2" w14:textId="77777777" w:rsidR="00DF3F78" w:rsidRPr="00DF3F78" w:rsidRDefault="00DF3F78" w:rsidP="00DF3F78">
      <w:pPr>
        <w:rPr>
          <w:rFonts w:cstheme="minorHAnsi"/>
          <w:sz w:val="24"/>
          <w:szCs w:val="24"/>
        </w:rPr>
      </w:pPr>
      <w:r w:rsidRPr="00DF3F78">
        <w:rPr>
          <w:rFonts w:cstheme="minorHAnsi"/>
          <w:sz w:val="24"/>
          <w:szCs w:val="24"/>
        </w:rPr>
        <w:t xml:space="preserve">The SLP boroughs collaborate sub-regionally on things where they can secure more together than individually. The SLP team focuses on areas where collaboration leads to increased influence, increased powers and funding and better delivery of the services our residents need.  </w:t>
      </w:r>
    </w:p>
    <w:p w14:paraId="33A9B2B3" w14:textId="77777777" w:rsidR="00DF3F78" w:rsidRPr="00DF3F78" w:rsidRDefault="00DF3F78" w:rsidP="00DF3F78">
      <w:pPr>
        <w:rPr>
          <w:rFonts w:cstheme="minorHAnsi"/>
          <w:sz w:val="24"/>
          <w:szCs w:val="24"/>
        </w:rPr>
      </w:pPr>
      <w:r w:rsidRPr="00DF3F78">
        <w:rPr>
          <w:rFonts w:cstheme="minorHAnsi"/>
          <w:sz w:val="24"/>
          <w:szCs w:val="24"/>
        </w:rPr>
        <w:t>SLP is hosted by Richmond Council.  The post holder will therefore be employed by the Richmond and Wandsworth Shared Staffing Arrangement [SSA].  The team is usually based at the Richmond Civic Centre in Twickenham, but all team members can and are expected to work in other SLP borough offices when that makes sense to build working relationships and make most effective use of their time.</w:t>
      </w:r>
    </w:p>
    <w:p w14:paraId="1E0A5971" w14:textId="3BE1DCAF" w:rsidR="00DF3F78" w:rsidRDefault="00DF3F78">
      <w:pPr>
        <w:spacing w:after="160" w:line="259" w:lineRule="auto"/>
      </w:pPr>
      <w:r>
        <w:br w:type="page"/>
      </w:r>
    </w:p>
    <w:p w14:paraId="6ADFD618" w14:textId="77777777" w:rsidR="007D4579" w:rsidRPr="00116812" w:rsidRDefault="007D4579">
      <w:pPr>
        <w:spacing w:after="160" w:line="259" w:lineRule="auto"/>
        <w:rPr>
          <w:b/>
          <w:bCs/>
          <w:sz w:val="24"/>
          <w:szCs w:val="24"/>
        </w:rPr>
      </w:pPr>
    </w:p>
    <w:tbl>
      <w:tblPr>
        <w:tblW w:w="9864"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029"/>
        <w:gridCol w:w="1418"/>
        <w:gridCol w:w="11"/>
        <w:gridCol w:w="7"/>
        <w:gridCol w:w="1399"/>
      </w:tblGrid>
      <w:tr w:rsidR="00116812" w:rsidRPr="00E4247B" w14:paraId="477ECA81" w14:textId="77777777" w:rsidTr="0072212B">
        <w:trPr>
          <w:trHeight w:val="548"/>
        </w:trPr>
        <w:tc>
          <w:tcPr>
            <w:tcW w:w="7029" w:type="dxa"/>
            <w:tcBorders>
              <w:top w:val="single" w:sz="8" w:space="0" w:color="000000"/>
              <w:left w:val="single" w:sz="8" w:space="0" w:color="000000"/>
              <w:bottom w:val="single" w:sz="8" w:space="0" w:color="000000"/>
              <w:right w:val="single" w:sz="8" w:space="0" w:color="000000"/>
            </w:tcBorders>
            <w:shd w:val="clear" w:color="auto" w:fill="D9D9D9"/>
            <w:hideMark/>
          </w:tcPr>
          <w:p w14:paraId="7405C446" w14:textId="77777777" w:rsidR="00116812" w:rsidRPr="00E4247B" w:rsidRDefault="00116812" w:rsidP="0072212B">
            <w:pPr>
              <w:rPr>
                <w:rFonts w:cs="Arial"/>
                <w:sz w:val="24"/>
                <w:szCs w:val="24"/>
              </w:rPr>
            </w:pPr>
            <w:r w:rsidRPr="00E4247B">
              <w:rPr>
                <w:rFonts w:cs="Arial"/>
                <w:b/>
                <w:bCs/>
                <w:sz w:val="24"/>
                <w:szCs w:val="24"/>
              </w:rPr>
              <w:t>Person Specification Requirements</w:t>
            </w:r>
          </w:p>
          <w:p w14:paraId="1C479BD5" w14:textId="77777777" w:rsidR="00116812" w:rsidRPr="00E4247B" w:rsidRDefault="00116812" w:rsidP="0072212B">
            <w:pPr>
              <w:rPr>
                <w:rFonts w:cs="Arial"/>
                <w:sz w:val="24"/>
                <w:szCs w:val="24"/>
              </w:rPr>
            </w:pPr>
          </w:p>
        </w:tc>
        <w:tc>
          <w:tcPr>
            <w:tcW w:w="1429" w:type="dxa"/>
            <w:gridSpan w:val="2"/>
            <w:tcBorders>
              <w:top w:val="single" w:sz="8" w:space="0" w:color="000000"/>
              <w:bottom w:val="single" w:sz="8" w:space="0" w:color="000000"/>
              <w:right w:val="single" w:sz="8" w:space="0" w:color="000000"/>
            </w:tcBorders>
            <w:shd w:val="clear" w:color="auto" w:fill="D9D9D9"/>
            <w:hideMark/>
          </w:tcPr>
          <w:p w14:paraId="0231EB29" w14:textId="77777777" w:rsidR="00116812" w:rsidRPr="00D43F7C" w:rsidRDefault="00116812" w:rsidP="0072212B">
            <w:pPr>
              <w:spacing w:after="0" w:line="240" w:lineRule="auto"/>
              <w:jc w:val="center"/>
              <w:rPr>
                <w:rFonts w:cs="Arial"/>
                <w:b/>
                <w:sz w:val="24"/>
                <w:szCs w:val="24"/>
              </w:rPr>
            </w:pPr>
            <w:r w:rsidRPr="00D43F7C">
              <w:rPr>
                <w:rFonts w:cs="Arial"/>
                <w:b/>
                <w:sz w:val="24"/>
                <w:szCs w:val="24"/>
              </w:rPr>
              <w:t>Essential/</w:t>
            </w:r>
          </w:p>
          <w:p w14:paraId="501740E3" w14:textId="77777777" w:rsidR="00116812" w:rsidRPr="00E4247B" w:rsidRDefault="00116812" w:rsidP="0072212B">
            <w:pPr>
              <w:spacing w:after="0" w:line="240" w:lineRule="auto"/>
              <w:jc w:val="center"/>
              <w:rPr>
                <w:rFonts w:cs="Arial"/>
                <w:sz w:val="24"/>
                <w:szCs w:val="24"/>
              </w:rPr>
            </w:pPr>
            <w:r w:rsidRPr="00D43F7C">
              <w:rPr>
                <w:rFonts w:cs="Arial"/>
                <w:b/>
                <w:sz w:val="24"/>
                <w:szCs w:val="24"/>
              </w:rPr>
              <w:t>Desired</w:t>
            </w:r>
          </w:p>
        </w:tc>
        <w:tc>
          <w:tcPr>
            <w:tcW w:w="1406" w:type="dxa"/>
            <w:gridSpan w:val="2"/>
            <w:tcBorders>
              <w:top w:val="single" w:sz="8" w:space="0" w:color="000000"/>
              <w:bottom w:val="single" w:sz="8" w:space="0" w:color="000000"/>
              <w:right w:val="single" w:sz="8" w:space="0" w:color="000000"/>
            </w:tcBorders>
            <w:shd w:val="clear" w:color="auto" w:fill="D9D9D9"/>
          </w:tcPr>
          <w:p w14:paraId="272118C3" w14:textId="77777777" w:rsidR="00116812" w:rsidRPr="00E4247B" w:rsidRDefault="00116812" w:rsidP="0072212B">
            <w:pPr>
              <w:spacing w:after="0" w:line="240" w:lineRule="auto"/>
              <w:jc w:val="center"/>
              <w:rPr>
                <w:rFonts w:cs="Arial"/>
                <w:b/>
                <w:bCs/>
                <w:sz w:val="24"/>
                <w:szCs w:val="24"/>
              </w:rPr>
            </w:pPr>
            <w:r w:rsidRPr="00E4247B">
              <w:rPr>
                <w:rFonts w:cs="Arial"/>
                <w:b/>
                <w:bCs/>
                <w:sz w:val="24"/>
                <w:szCs w:val="24"/>
              </w:rPr>
              <w:t xml:space="preserve">Assessed by </w:t>
            </w:r>
          </w:p>
          <w:p w14:paraId="3BBFC895" w14:textId="77777777" w:rsidR="00116812" w:rsidRPr="00E4247B" w:rsidRDefault="00116812" w:rsidP="0072212B">
            <w:pPr>
              <w:spacing w:after="0" w:line="240" w:lineRule="auto"/>
              <w:jc w:val="center"/>
              <w:rPr>
                <w:rFonts w:cs="Arial"/>
                <w:b/>
                <w:bCs/>
                <w:sz w:val="24"/>
                <w:szCs w:val="24"/>
              </w:rPr>
            </w:pPr>
            <w:r w:rsidRPr="00E4247B">
              <w:rPr>
                <w:rFonts w:cs="Arial"/>
                <w:b/>
                <w:bCs/>
                <w:sz w:val="24"/>
                <w:szCs w:val="24"/>
              </w:rPr>
              <w:t xml:space="preserve">A &amp; I/T/C </w:t>
            </w:r>
          </w:p>
        </w:tc>
      </w:tr>
      <w:tr w:rsidR="00116812" w:rsidRPr="00E4247B" w14:paraId="559D3A6B" w14:textId="77777777" w:rsidTr="0072212B">
        <w:trPr>
          <w:trHeight w:val="70"/>
        </w:trPr>
        <w:tc>
          <w:tcPr>
            <w:tcW w:w="8465" w:type="dxa"/>
            <w:gridSpan w:val="4"/>
            <w:tcBorders>
              <w:left w:val="single" w:sz="8" w:space="0" w:color="000000"/>
              <w:bottom w:val="single" w:sz="8" w:space="0" w:color="000000"/>
              <w:right w:val="single" w:sz="8" w:space="0" w:color="000000"/>
            </w:tcBorders>
            <w:shd w:val="clear" w:color="auto" w:fill="D9D9D9"/>
            <w:hideMark/>
          </w:tcPr>
          <w:p w14:paraId="662B908D" w14:textId="77777777" w:rsidR="00116812" w:rsidRPr="00E4247B" w:rsidRDefault="00116812" w:rsidP="0072212B">
            <w:pPr>
              <w:spacing w:line="240" w:lineRule="auto"/>
              <w:ind w:left="57"/>
              <w:rPr>
                <w:rFonts w:cs="Arial"/>
                <w:sz w:val="24"/>
                <w:szCs w:val="24"/>
              </w:rPr>
            </w:pPr>
            <w:r w:rsidRPr="00E4247B">
              <w:rPr>
                <w:rFonts w:cs="Arial"/>
                <w:b/>
                <w:bCs/>
                <w:sz w:val="24"/>
                <w:szCs w:val="24"/>
              </w:rPr>
              <w:t xml:space="preserve">Knowledge </w:t>
            </w:r>
          </w:p>
        </w:tc>
        <w:tc>
          <w:tcPr>
            <w:tcW w:w="1399" w:type="dxa"/>
            <w:tcBorders>
              <w:left w:val="single" w:sz="8" w:space="0" w:color="000000"/>
              <w:bottom w:val="single" w:sz="8" w:space="0" w:color="000000"/>
              <w:right w:val="single" w:sz="8" w:space="0" w:color="000000"/>
            </w:tcBorders>
            <w:shd w:val="clear" w:color="auto" w:fill="D9D9D9"/>
          </w:tcPr>
          <w:p w14:paraId="30555B53" w14:textId="77777777" w:rsidR="00116812" w:rsidRPr="00E4247B" w:rsidRDefault="00116812" w:rsidP="0072212B">
            <w:pPr>
              <w:spacing w:line="240" w:lineRule="auto"/>
              <w:ind w:left="57"/>
              <w:rPr>
                <w:rFonts w:cs="Arial"/>
                <w:b/>
                <w:bCs/>
                <w:sz w:val="24"/>
                <w:szCs w:val="24"/>
              </w:rPr>
            </w:pPr>
          </w:p>
        </w:tc>
      </w:tr>
      <w:tr w:rsidR="00F767BC" w:rsidRPr="00E4247B" w14:paraId="3300E984"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0BD70EB7" w14:textId="44DD92F6" w:rsidR="00F767BC" w:rsidRPr="00E4247B" w:rsidRDefault="00F767BC" w:rsidP="00F767BC">
            <w:pPr>
              <w:spacing w:line="240" w:lineRule="auto"/>
              <w:ind w:left="57"/>
              <w:jc w:val="both"/>
              <w:rPr>
                <w:sz w:val="24"/>
                <w:szCs w:val="24"/>
              </w:rPr>
            </w:pPr>
            <w:r w:rsidRPr="00987EBF">
              <w:t xml:space="preserve">High level of understanding of epidemiology and statistics, public health practice, health promotion, health economics and health care evaluation. </w:t>
            </w:r>
          </w:p>
        </w:tc>
        <w:tc>
          <w:tcPr>
            <w:tcW w:w="1429" w:type="dxa"/>
            <w:gridSpan w:val="2"/>
            <w:tcBorders>
              <w:bottom w:val="single" w:sz="8" w:space="0" w:color="000000"/>
              <w:right w:val="single" w:sz="8" w:space="0" w:color="000000"/>
            </w:tcBorders>
            <w:shd w:val="clear" w:color="auto" w:fill="FFFFFF"/>
          </w:tcPr>
          <w:p w14:paraId="545C2EE9" w14:textId="77777777" w:rsidR="00F767BC" w:rsidRPr="00E4247B" w:rsidRDefault="00F767BC" w:rsidP="00F767BC">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6F8095D4" w14:textId="12173952" w:rsidR="00F767BC" w:rsidRPr="00E4247B" w:rsidRDefault="00F767BC" w:rsidP="00F767BC">
            <w:pPr>
              <w:spacing w:line="70" w:lineRule="atLeast"/>
              <w:jc w:val="center"/>
              <w:rPr>
                <w:rFonts w:cs="Arial"/>
                <w:sz w:val="24"/>
                <w:szCs w:val="24"/>
              </w:rPr>
            </w:pPr>
            <w:r w:rsidRPr="00E4247B">
              <w:rPr>
                <w:rFonts w:cs="Arial"/>
                <w:sz w:val="24"/>
                <w:szCs w:val="24"/>
              </w:rPr>
              <w:t>A/I</w:t>
            </w:r>
          </w:p>
        </w:tc>
      </w:tr>
      <w:tr w:rsidR="004E2272" w:rsidRPr="00E4247B" w14:paraId="6B8E7F23"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05EECB11" w14:textId="41DB3A11" w:rsidR="004E2272" w:rsidRPr="00987EBF" w:rsidRDefault="004E2272" w:rsidP="004E2272">
            <w:pPr>
              <w:spacing w:line="240" w:lineRule="auto"/>
              <w:ind w:left="57"/>
              <w:jc w:val="both"/>
            </w:pPr>
            <w:r w:rsidRPr="009E7B11">
              <w:t xml:space="preserve">In depth understanding of the health and care system and the relationship with government at all levels </w:t>
            </w:r>
          </w:p>
        </w:tc>
        <w:tc>
          <w:tcPr>
            <w:tcW w:w="1429" w:type="dxa"/>
            <w:gridSpan w:val="2"/>
            <w:tcBorders>
              <w:bottom w:val="single" w:sz="8" w:space="0" w:color="000000"/>
              <w:right w:val="single" w:sz="8" w:space="0" w:color="000000"/>
            </w:tcBorders>
            <w:shd w:val="clear" w:color="auto" w:fill="FFFFFF"/>
          </w:tcPr>
          <w:p w14:paraId="34F0F446" w14:textId="24CFBB0B" w:rsidR="004E2272" w:rsidRDefault="004E2272" w:rsidP="004E2272">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1AD80041" w14:textId="50474AB8" w:rsidR="004E2272" w:rsidRPr="00E4247B" w:rsidRDefault="004E2272" w:rsidP="004E2272">
            <w:pPr>
              <w:spacing w:line="70" w:lineRule="atLeast"/>
              <w:jc w:val="center"/>
              <w:rPr>
                <w:rFonts w:cs="Arial"/>
                <w:sz w:val="24"/>
                <w:szCs w:val="24"/>
              </w:rPr>
            </w:pPr>
            <w:r w:rsidRPr="00E4247B">
              <w:rPr>
                <w:rFonts w:cs="Arial"/>
                <w:sz w:val="24"/>
                <w:szCs w:val="24"/>
              </w:rPr>
              <w:t>A/I</w:t>
            </w:r>
          </w:p>
        </w:tc>
      </w:tr>
      <w:tr w:rsidR="004E2272" w:rsidRPr="00E4247B" w14:paraId="05B3EBE7"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743DF471" w14:textId="71D89A2B" w:rsidR="004E2272" w:rsidRDefault="004E2272" w:rsidP="004E2272">
            <w:pPr>
              <w:spacing w:line="240" w:lineRule="auto"/>
              <w:ind w:left="57"/>
              <w:jc w:val="both"/>
            </w:pPr>
            <w:r>
              <w:t xml:space="preserve">Strong and demonstrable understanding of interfaces between health, social </w:t>
            </w:r>
            <w:proofErr w:type="gramStart"/>
            <w:r>
              <w:t>care</w:t>
            </w:r>
            <w:proofErr w:type="gramEnd"/>
            <w:r>
              <w:t xml:space="preserve"> and key partners (dealing with wider determinants of health)</w:t>
            </w:r>
          </w:p>
        </w:tc>
        <w:tc>
          <w:tcPr>
            <w:tcW w:w="1429" w:type="dxa"/>
            <w:gridSpan w:val="2"/>
            <w:tcBorders>
              <w:bottom w:val="single" w:sz="8" w:space="0" w:color="000000"/>
              <w:right w:val="single" w:sz="8" w:space="0" w:color="000000"/>
            </w:tcBorders>
            <w:shd w:val="clear" w:color="auto" w:fill="FFFFFF"/>
          </w:tcPr>
          <w:p w14:paraId="07D78578" w14:textId="66720D0F" w:rsidR="004E2272" w:rsidRDefault="004E2272" w:rsidP="004E2272">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72280E27" w14:textId="406BEC83" w:rsidR="004E2272" w:rsidRPr="00E4247B" w:rsidRDefault="004E2272" w:rsidP="004E2272">
            <w:pPr>
              <w:spacing w:line="70" w:lineRule="atLeast"/>
              <w:jc w:val="center"/>
              <w:rPr>
                <w:rFonts w:cs="Arial"/>
                <w:sz w:val="24"/>
                <w:szCs w:val="24"/>
              </w:rPr>
            </w:pPr>
            <w:r w:rsidRPr="00E4247B">
              <w:rPr>
                <w:rFonts w:cs="Arial"/>
                <w:sz w:val="24"/>
                <w:szCs w:val="24"/>
              </w:rPr>
              <w:t>A/I</w:t>
            </w:r>
          </w:p>
        </w:tc>
      </w:tr>
      <w:tr w:rsidR="004E2272" w:rsidRPr="00E4247B" w14:paraId="1059F9AD"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68868E19" w14:textId="635B22B9" w:rsidR="004E2272" w:rsidRPr="00E4247B" w:rsidRDefault="004E2272" w:rsidP="004E2272">
            <w:pPr>
              <w:spacing w:line="240" w:lineRule="auto"/>
              <w:ind w:left="57"/>
              <w:jc w:val="both"/>
              <w:rPr>
                <w:sz w:val="24"/>
                <w:szCs w:val="24"/>
              </w:rPr>
            </w:pPr>
            <w:r w:rsidRPr="00987EBF">
              <w:t xml:space="preserve">Knowledge of methods of developing clinical quality assurance, quality improvement and evidence based clinical and/or public health practice. </w:t>
            </w:r>
          </w:p>
        </w:tc>
        <w:tc>
          <w:tcPr>
            <w:tcW w:w="1429" w:type="dxa"/>
            <w:gridSpan w:val="2"/>
            <w:tcBorders>
              <w:bottom w:val="single" w:sz="8" w:space="0" w:color="000000"/>
              <w:right w:val="single" w:sz="8" w:space="0" w:color="000000"/>
            </w:tcBorders>
            <w:shd w:val="clear" w:color="auto" w:fill="FFFFFF"/>
          </w:tcPr>
          <w:p w14:paraId="0D064D6C" w14:textId="77777777" w:rsidR="004E2272" w:rsidRPr="00E4247B" w:rsidRDefault="004E2272" w:rsidP="004E2272">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45D4D0C5" w14:textId="2D46901E" w:rsidR="004E2272" w:rsidRPr="00E4247B" w:rsidRDefault="004E2272" w:rsidP="004E2272">
            <w:pPr>
              <w:spacing w:line="70" w:lineRule="atLeast"/>
              <w:jc w:val="center"/>
              <w:rPr>
                <w:rFonts w:cs="Arial"/>
                <w:sz w:val="24"/>
                <w:szCs w:val="24"/>
              </w:rPr>
            </w:pPr>
            <w:r w:rsidRPr="00E4247B">
              <w:rPr>
                <w:rFonts w:cs="Arial"/>
                <w:sz w:val="24"/>
                <w:szCs w:val="24"/>
              </w:rPr>
              <w:t>A/I</w:t>
            </w:r>
          </w:p>
        </w:tc>
      </w:tr>
      <w:tr w:rsidR="00381442" w:rsidRPr="00E4247B" w14:paraId="2F4D4244" w14:textId="77777777" w:rsidTr="0079217D">
        <w:trPr>
          <w:trHeight w:val="606"/>
        </w:trPr>
        <w:tc>
          <w:tcPr>
            <w:tcW w:w="7029" w:type="dxa"/>
            <w:tcBorders>
              <w:left w:val="single" w:sz="8" w:space="0" w:color="000000"/>
              <w:bottom w:val="single" w:sz="8" w:space="0" w:color="000000"/>
              <w:right w:val="single" w:sz="8" w:space="0" w:color="000000"/>
            </w:tcBorders>
            <w:shd w:val="clear" w:color="auto" w:fill="FFFFFF"/>
          </w:tcPr>
          <w:p w14:paraId="0758FB8A" w14:textId="481C1B55" w:rsidR="00381442" w:rsidRDefault="00381442" w:rsidP="00381442">
            <w:pPr>
              <w:spacing w:line="240" w:lineRule="auto"/>
              <w:ind w:left="57"/>
              <w:jc w:val="both"/>
            </w:pPr>
            <w:r>
              <w:t>Understanding of the public sector duty and the inequality duty and their application to public health practice</w:t>
            </w:r>
          </w:p>
        </w:tc>
        <w:tc>
          <w:tcPr>
            <w:tcW w:w="1429" w:type="dxa"/>
            <w:gridSpan w:val="2"/>
            <w:tcBorders>
              <w:bottom w:val="single" w:sz="8" w:space="0" w:color="000000"/>
              <w:right w:val="single" w:sz="8" w:space="0" w:color="000000"/>
            </w:tcBorders>
            <w:shd w:val="clear" w:color="auto" w:fill="FFFFFF"/>
          </w:tcPr>
          <w:p w14:paraId="7BB692C7" w14:textId="23B3C220" w:rsidR="00381442" w:rsidRDefault="00381442" w:rsidP="00381442">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2629DE98" w14:textId="422B1C64" w:rsidR="00381442" w:rsidRPr="00E4247B" w:rsidRDefault="00381442" w:rsidP="00381442">
            <w:pPr>
              <w:spacing w:line="70" w:lineRule="atLeast"/>
              <w:jc w:val="center"/>
              <w:rPr>
                <w:rFonts w:cs="Arial"/>
                <w:sz w:val="24"/>
                <w:szCs w:val="24"/>
              </w:rPr>
            </w:pPr>
            <w:r w:rsidRPr="00E4247B">
              <w:rPr>
                <w:rFonts w:cs="Arial"/>
                <w:sz w:val="24"/>
                <w:szCs w:val="24"/>
              </w:rPr>
              <w:t>A/I</w:t>
            </w:r>
          </w:p>
        </w:tc>
      </w:tr>
      <w:tr w:rsidR="00381442" w:rsidRPr="00E4247B" w14:paraId="61871469" w14:textId="77777777" w:rsidTr="0072212B">
        <w:trPr>
          <w:trHeight w:val="70"/>
        </w:trPr>
        <w:tc>
          <w:tcPr>
            <w:tcW w:w="8465" w:type="dxa"/>
            <w:gridSpan w:val="4"/>
            <w:tcBorders>
              <w:left w:val="single" w:sz="8" w:space="0" w:color="000000"/>
              <w:bottom w:val="single" w:sz="8" w:space="0" w:color="000000"/>
              <w:right w:val="single" w:sz="8" w:space="0" w:color="000000"/>
            </w:tcBorders>
            <w:shd w:val="clear" w:color="auto" w:fill="D9D9D9"/>
            <w:hideMark/>
          </w:tcPr>
          <w:p w14:paraId="66CC08BC" w14:textId="77777777" w:rsidR="00381442" w:rsidRPr="00E4247B" w:rsidRDefault="00381442" w:rsidP="00381442">
            <w:pPr>
              <w:spacing w:line="70" w:lineRule="atLeast"/>
              <w:ind w:left="57"/>
              <w:rPr>
                <w:rFonts w:cs="Arial"/>
                <w:sz w:val="24"/>
                <w:szCs w:val="24"/>
              </w:rPr>
            </w:pPr>
            <w:r w:rsidRPr="00E4247B">
              <w:rPr>
                <w:rFonts w:cs="Arial"/>
                <w:b/>
                <w:bCs/>
                <w:sz w:val="24"/>
                <w:szCs w:val="24"/>
              </w:rPr>
              <w:t xml:space="preserve">Experience </w:t>
            </w:r>
          </w:p>
        </w:tc>
        <w:tc>
          <w:tcPr>
            <w:tcW w:w="1399" w:type="dxa"/>
            <w:tcBorders>
              <w:left w:val="single" w:sz="8" w:space="0" w:color="000000"/>
              <w:bottom w:val="single" w:sz="8" w:space="0" w:color="000000"/>
              <w:right w:val="single" w:sz="8" w:space="0" w:color="000000"/>
            </w:tcBorders>
            <w:shd w:val="clear" w:color="auto" w:fill="D9D9D9"/>
          </w:tcPr>
          <w:p w14:paraId="3C77F88D" w14:textId="77777777" w:rsidR="00381442" w:rsidRPr="00E4247B" w:rsidRDefault="00381442" w:rsidP="00381442">
            <w:pPr>
              <w:spacing w:line="70" w:lineRule="atLeast"/>
              <w:ind w:left="57"/>
              <w:rPr>
                <w:rFonts w:cs="Arial"/>
                <w:b/>
                <w:bCs/>
                <w:sz w:val="24"/>
                <w:szCs w:val="24"/>
              </w:rPr>
            </w:pPr>
          </w:p>
        </w:tc>
      </w:tr>
      <w:tr w:rsidR="00381442" w:rsidRPr="00E4247B" w14:paraId="757ECEF2"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1626DC29" w14:textId="4644CCF0" w:rsidR="00381442" w:rsidRPr="00AA1430" w:rsidRDefault="000A6EF1" w:rsidP="00381442">
            <w:pPr>
              <w:spacing w:line="240" w:lineRule="auto"/>
              <w:ind w:left="57"/>
              <w:rPr>
                <w:rFonts w:cs="Arial"/>
                <w:color w:val="000000"/>
              </w:rPr>
            </w:pPr>
            <w:r w:rsidRPr="00AA1430">
              <w:rPr>
                <w:rFonts w:cs="Arial"/>
                <w:color w:val="000000"/>
              </w:rPr>
              <w:t>Building relationships and working effectively with a wide range of partners from different organisations</w:t>
            </w:r>
          </w:p>
        </w:tc>
        <w:tc>
          <w:tcPr>
            <w:tcW w:w="1429" w:type="dxa"/>
            <w:gridSpan w:val="2"/>
            <w:tcBorders>
              <w:bottom w:val="single" w:sz="8" w:space="0" w:color="000000"/>
              <w:right w:val="single" w:sz="8" w:space="0" w:color="000000"/>
            </w:tcBorders>
            <w:shd w:val="clear" w:color="auto" w:fill="FFFFFF"/>
          </w:tcPr>
          <w:p w14:paraId="6BD8C677" w14:textId="77777777" w:rsidR="00381442" w:rsidRPr="00E4247B" w:rsidRDefault="00381442" w:rsidP="00381442">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7995738D" w14:textId="77777777" w:rsidR="00381442" w:rsidRPr="00E4247B" w:rsidRDefault="00381442" w:rsidP="00381442">
            <w:pPr>
              <w:spacing w:line="70" w:lineRule="atLeast"/>
              <w:jc w:val="center"/>
              <w:rPr>
                <w:rFonts w:cs="Arial"/>
                <w:sz w:val="24"/>
                <w:szCs w:val="24"/>
              </w:rPr>
            </w:pPr>
            <w:r w:rsidRPr="00E4247B">
              <w:rPr>
                <w:rFonts w:cs="Arial"/>
                <w:sz w:val="24"/>
                <w:szCs w:val="24"/>
              </w:rPr>
              <w:t>A/I</w:t>
            </w:r>
          </w:p>
        </w:tc>
      </w:tr>
      <w:tr w:rsidR="00381442" w:rsidRPr="00E4247B" w14:paraId="447AC716"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1708BD4D" w14:textId="4CFF09F2" w:rsidR="00381442" w:rsidRDefault="00381442" w:rsidP="00381442">
            <w:pPr>
              <w:spacing w:line="240" w:lineRule="auto"/>
              <w:rPr>
                <w:rFonts w:cs="Arial"/>
                <w:color w:val="000000"/>
                <w:sz w:val="24"/>
                <w:szCs w:val="24"/>
              </w:rPr>
            </w:pPr>
            <w:r>
              <w:t>Delivery of successful change management programmes across organizational boundaries</w:t>
            </w:r>
          </w:p>
        </w:tc>
        <w:tc>
          <w:tcPr>
            <w:tcW w:w="1429" w:type="dxa"/>
            <w:gridSpan w:val="2"/>
            <w:tcBorders>
              <w:bottom w:val="single" w:sz="8" w:space="0" w:color="000000"/>
              <w:right w:val="single" w:sz="8" w:space="0" w:color="000000"/>
            </w:tcBorders>
            <w:shd w:val="clear" w:color="auto" w:fill="FFFFFF"/>
          </w:tcPr>
          <w:p w14:paraId="4552E314" w14:textId="6F849449" w:rsidR="00381442" w:rsidRDefault="00381442" w:rsidP="00381442">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17DE4146" w14:textId="4C39B565" w:rsidR="00381442" w:rsidRPr="00E4247B" w:rsidRDefault="00381442" w:rsidP="00381442">
            <w:pPr>
              <w:spacing w:line="70" w:lineRule="atLeast"/>
              <w:jc w:val="center"/>
              <w:rPr>
                <w:rFonts w:cs="Arial"/>
                <w:sz w:val="24"/>
                <w:szCs w:val="24"/>
              </w:rPr>
            </w:pPr>
            <w:r w:rsidRPr="00E4247B">
              <w:rPr>
                <w:rFonts w:cs="Arial"/>
                <w:sz w:val="24"/>
                <w:szCs w:val="24"/>
              </w:rPr>
              <w:t>A/I</w:t>
            </w:r>
          </w:p>
        </w:tc>
      </w:tr>
      <w:tr w:rsidR="00381442" w:rsidRPr="00E4247B" w14:paraId="4AFB316F"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07423287" w14:textId="53B77F74" w:rsidR="00381442" w:rsidRDefault="00381442" w:rsidP="00AA1430">
            <w:pPr>
              <w:spacing w:line="240" w:lineRule="auto"/>
              <w:rPr>
                <w:rFonts w:cs="Arial"/>
                <w:color w:val="000000"/>
                <w:sz w:val="24"/>
                <w:szCs w:val="24"/>
              </w:rPr>
            </w:pPr>
            <w:r>
              <w:t>Experience of using complex information to explain public health issues to a range of audiences</w:t>
            </w:r>
          </w:p>
        </w:tc>
        <w:tc>
          <w:tcPr>
            <w:tcW w:w="1429" w:type="dxa"/>
            <w:gridSpan w:val="2"/>
            <w:tcBorders>
              <w:bottom w:val="single" w:sz="8" w:space="0" w:color="000000"/>
              <w:right w:val="single" w:sz="8" w:space="0" w:color="000000"/>
            </w:tcBorders>
            <w:shd w:val="clear" w:color="auto" w:fill="FFFFFF"/>
          </w:tcPr>
          <w:p w14:paraId="11992C4E" w14:textId="1C1EDC62" w:rsidR="00381442" w:rsidRDefault="00381442" w:rsidP="00381442">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3C4555D9" w14:textId="66F94DBA" w:rsidR="00381442" w:rsidRPr="00E4247B" w:rsidRDefault="00381442" w:rsidP="00381442">
            <w:pPr>
              <w:spacing w:line="70" w:lineRule="atLeast"/>
              <w:jc w:val="center"/>
              <w:rPr>
                <w:rFonts w:cs="Arial"/>
                <w:sz w:val="24"/>
                <w:szCs w:val="24"/>
              </w:rPr>
            </w:pPr>
            <w:r w:rsidRPr="00E4247B">
              <w:rPr>
                <w:rFonts w:cs="Arial"/>
                <w:sz w:val="24"/>
                <w:szCs w:val="24"/>
              </w:rPr>
              <w:t>A/I</w:t>
            </w:r>
          </w:p>
        </w:tc>
      </w:tr>
      <w:tr w:rsidR="00381442" w:rsidRPr="00E4247B" w14:paraId="68AEB2D9" w14:textId="77777777" w:rsidTr="0072212B">
        <w:trPr>
          <w:trHeight w:val="70"/>
        </w:trPr>
        <w:tc>
          <w:tcPr>
            <w:tcW w:w="8465" w:type="dxa"/>
            <w:gridSpan w:val="4"/>
            <w:tcBorders>
              <w:left w:val="single" w:sz="8" w:space="0" w:color="000000"/>
              <w:bottom w:val="single" w:sz="8" w:space="0" w:color="000000"/>
              <w:right w:val="single" w:sz="8" w:space="0" w:color="000000"/>
            </w:tcBorders>
            <w:shd w:val="clear" w:color="auto" w:fill="D9D9D9"/>
            <w:hideMark/>
          </w:tcPr>
          <w:p w14:paraId="5FBB794C" w14:textId="77777777" w:rsidR="00381442" w:rsidRPr="00E4247B" w:rsidRDefault="00381442" w:rsidP="00381442">
            <w:pPr>
              <w:spacing w:line="70" w:lineRule="atLeast"/>
              <w:ind w:left="57"/>
              <w:rPr>
                <w:rFonts w:cs="Arial"/>
                <w:sz w:val="24"/>
                <w:szCs w:val="24"/>
              </w:rPr>
            </w:pPr>
            <w:r w:rsidRPr="00E4247B">
              <w:rPr>
                <w:rFonts w:cs="Arial"/>
                <w:b/>
                <w:bCs/>
                <w:sz w:val="24"/>
                <w:szCs w:val="24"/>
              </w:rPr>
              <w:t xml:space="preserve">Skills </w:t>
            </w:r>
          </w:p>
        </w:tc>
        <w:tc>
          <w:tcPr>
            <w:tcW w:w="1399" w:type="dxa"/>
            <w:tcBorders>
              <w:left w:val="single" w:sz="8" w:space="0" w:color="000000"/>
              <w:bottom w:val="single" w:sz="8" w:space="0" w:color="000000"/>
              <w:right w:val="single" w:sz="8" w:space="0" w:color="000000"/>
            </w:tcBorders>
            <w:shd w:val="clear" w:color="auto" w:fill="D9D9D9"/>
          </w:tcPr>
          <w:p w14:paraId="362947A7" w14:textId="77777777" w:rsidR="00381442" w:rsidRPr="00E4247B" w:rsidRDefault="00381442" w:rsidP="00381442">
            <w:pPr>
              <w:spacing w:line="70" w:lineRule="atLeast"/>
              <w:ind w:left="57"/>
              <w:rPr>
                <w:rFonts w:cs="Arial"/>
                <w:b/>
                <w:bCs/>
                <w:sz w:val="24"/>
                <w:szCs w:val="24"/>
              </w:rPr>
            </w:pPr>
          </w:p>
        </w:tc>
      </w:tr>
      <w:tr w:rsidR="00381442" w:rsidRPr="00E4247B" w14:paraId="5115A576" w14:textId="77777777" w:rsidTr="00AA1430">
        <w:trPr>
          <w:trHeight w:val="410"/>
        </w:trPr>
        <w:tc>
          <w:tcPr>
            <w:tcW w:w="7029" w:type="dxa"/>
            <w:tcBorders>
              <w:left w:val="single" w:sz="8" w:space="0" w:color="000000"/>
              <w:bottom w:val="single" w:sz="8" w:space="0" w:color="000000"/>
              <w:right w:val="single" w:sz="8" w:space="0" w:color="000000"/>
            </w:tcBorders>
            <w:shd w:val="clear" w:color="auto" w:fill="FFFFFF"/>
          </w:tcPr>
          <w:p w14:paraId="48C213FE" w14:textId="088E93FD" w:rsidR="00381442" w:rsidRPr="00AA1430" w:rsidRDefault="00381442" w:rsidP="00381442">
            <w:pPr>
              <w:spacing w:after="0" w:line="240" w:lineRule="auto"/>
            </w:pPr>
            <w:r>
              <w:t xml:space="preserve">Strategic thinker with proven leadership skills. </w:t>
            </w:r>
          </w:p>
        </w:tc>
        <w:tc>
          <w:tcPr>
            <w:tcW w:w="1429" w:type="dxa"/>
            <w:gridSpan w:val="2"/>
            <w:tcBorders>
              <w:bottom w:val="single" w:sz="8" w:space="0" w:color="000000"/>
              <w:right w:val="single" w:sz="8" w:space="0" w:color="000000"/>
            </w:tcBorders>
            <w:shd w:val="clear" w:color="auto" w:fill="FFFFFF"/>
          </w:tcPr>
          <w:p w14:paraId="5DEC1BC2" w14:textId="0A9B44C7" w:rsidR="00381442" w:rsidRPr="00E4247B" w:rsidRDefault="00381442" w:rsidP="00381442">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6701F4B5" w14:textId="46D26A56" w:rsidR="00381442" w:rsidRPr="00E4247B" w:rsidRDefault="00381442" w:rsidP="00381442">
            <w:pPr>
              <w:spacing w:line="70" w:lineRule="atLeast"/>
              <w:jc w:val="center"/>
              <w:rPr>
                <w:rFonts w:cs="Arial"/>
                <w:sz w:val="24"/>
                <w:szCs w:val="24"/>
              </w:rPr>
            </w:pPr>
            <w:r w:rsidRPr="00E4247B">
              <w:rPr>
                <w:rFonts w:cs="Arial"/>
                <w:sz w:val="24"/>
                <w:szCs w:val="24"/>
              </w:rPr>
              <w:t>A/I</w:t>
            </w:r>
          </w:p>
        </w:tc>
      </w:tr>
      <w:tr w:rsidR="00F73176" w:rsidRPr="00E4247B" w14:paraId="1D375308" w14:textId="77777777" w:rsidTr="00AA1430">
        <w:trPr>
          <w:trHeight w:val="410"/>
        </w:trPr>
        <w:tc>
          <w:tcPr>
            <w:tcW w:w="7029" w:type="dxa"/>
            <w:tcBorders>
              <w:left w:val="single" w:sz="8" w:space="0" w:color="000000"/>
              <w:bottom w:val="single" w:sz="8" w:space="0" w:color="000000"/>
              <w:right w:val="single" w:sz="8" w:space="0" w:color="000000"/>
            </w:tcBorders>
            <w:shd w:val="clear" w:color="auto" w:fill="FFFFFF"/>
          </w:tcPr>
          <w:p w14:paraId="77D124BD" w14:textId="795ABB0C" w:rsidR="00F73176" w:rsidRDefault="00F73176" w:rsidP="00F73176">
            <w:pPr>
              <w:spacing w:after="0" w:line="240" w:lineRule="auto"/>
            </w:pPr>
            <w:r w:rsidRPr="000553C4">
              <w:rPr>
                <w:rFonts w:eastAsia="Times New Roman" w:cs="Times New Roman"/>
                <w:lang w:eastAsia="en-GB"/>
              </w:rPr>
              <w:t xml:space="preserve">Effective interpersonal, </w:t>
            </w:r>
            <w:proofErr w:type="gramStart"/>
            <w:r w:rsidRPr="000553C4">
              <w:rPr>
                <w:rFonts w:eastAsia="Times New Roman" w:cs="Times New Roman"/>
                <w:lang w:eastAsia="en-GB"/>
              </w:rPr>
              <w:t>motivational</w:t>
            </w:r>
            <w:proofErr w:type="gramEnd"/>
            <w:r w:rsidRPr="000553C4">
              <w:rPr>
                <w:rFonts w:eastAsia="Times New Roman" w:cs="Times New Roman"/>
                <w:lang w:eastAsia="en-GB"/>
              </w:rPr>
              <w:t xml:space="preserve"> and influencing skills.</w:t>
            </w:r>
          </w:p>
        </w:tc>
        <w:tc>
          <w:tcPr>
            <w:tcW w:w="1429" w:type="dxa"/>
            <w:gridSpan w:val="2"/>
            <w:tcBorders>
              <w:bottom w:val="single" w:sz="8" w:space="0" w:color="000000"/>
              <w:right w:val="single" w:sz="8" w:space="0" w:color="000000"/>
            </w:tcBorders>
            <w:shd w:val="clear" w:color="auto" w:fill="FFFFFF"/>
          </w:tcPr>
          <w:p w14:paraId="2D7B5C26" w14:textId="18978F5F" w:rsidR="00F73176" w:rsidRDefault="00F73176" w:rsidP="00F73176">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708AF073" w14:textId="0963E311" w:rsidR="00F73176" w:rsidRPr="00E4247B" w:rsidRDefault="00F73176" w:rsidP="00F73176">
            <w:pPr>
              <w:spacing w:line="70" w:lineRule="atLeast"/>
              <w:jc w:val="center"/>
              <w:rPr>
                <w:rFonts w:cs="Arial"/>
                <w:sz w:val="24"/>
                <w:szCs w:val="24"/>
              </w:rPr>
            </w:pPr>
            <w:r w:rsidRPr="00E4247B">
              <w:rPr>
                <w:rFonts w:cs="Arial"/>
                <w:sz w:val="24"/>
                <w:szCs w:val="24"/>
              </w:rPr>
              <w:t>A/I</w:t>
            </w:r>
          </w:p>
        </w:tc>
      </w:tr>
      <w:tr w:rsidR="00D43BFE" w:rsidRPr="00E4247B" w14:paraId="3B1C5CC0"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73B0B845" w14:textId="29D2EF3F" w:rsidR="00D43BFE" w:rsidRDefault="00D43BFE" w:rsidP="00D43BFE">
            <w:pPr>
              <w:spacing w:after="0" w:line="240" w:lineRule="auto"/>
            </w:pPr>
            <w:r>
              <w:rPr>
                <w:rFonts w:cs="Arial"/>
                <w:color w:val="000000"/>
                <w:sz w:val="24"/>
                <w:szCs w:val="24"/>
              </w:rPr>
              <w:t>Ability to work</w:t>
            </w:r>
            <w:r w:rsidR="00FB4295">
              <w:rPr>
                <w:rFonts w:cs="Arial"/>
                <w:color w:val="000000"/>
                <w:sz w:val="24"/>
                <w:szCs w:val="24"/>
              </w:rPr>
              <w:t xml:space="preserve"> collaboratively</w:t>
            </w:r>
            <w:r>
              <w:rPr>
                <w:rFonts w:cs="Arial"/>
                <w:color w:val="000000"/>
                <w:sz w:val="24"/>
                <w:szCs w:val="24"/>
              </w:rPr>
              <w:t xml:space="preserve"> with a range of stakeholders from multiple organisations to deliver health improvement </w:t>
            </w:r>
          </w:p>
        </w:tc>
        <w:tc>
          <w:tcPr>
            <w:tcW w:w="1429" w:type="dxa"/>
            <w:gridSpan w:val="2"/>
            <w:tcBorders>
              <w:bottom w:val="single" w:sz="8" w:space="0" w:color="000000"/>
              <w:right w:val="single" w:sz="8" w:space="0" w:color="000000"/>
            </w:tcBorders>
            <w:shd w:val="clear" w:color="auto" w:fill="FFFFFF"/>
          </w:tcPr>
          <w:p w14:paraId="5D9A1558" w14:textId="26CD553A" w:rsidR="00D43BFE" w:rsidRDefault="00D43BFE" w:rsidP="00D43BFE">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7B31A88E" w14:textId="2E4B54AF" w:rsidR="00D43BFE" w:rsidRPr="00E4247B" w:rsidRDefault="00D43BFE" w:rsidP="00D43BFE">
            <w:pPr>
              <w:spacing w:line="70" w:lineRule="atLeast"/>
              <w:jc w:val="center"/>
              <w:rPr>
                <w:rFonts w:cs="Arial"/>
                <w:sz w:val="24"/>
                <w:szCs w:val="24"/>
              </w:rPr>
            </w:pPr>
            <w:r w:rsidRPr="00E4247B">
              <w:rPr>
                <w:rFonts w:cs="Arial"/>
                <w:sz w:val="24"/>
                <w:szCs w:val="24"/>
              </w:rPr>
              <w:t>A/I</w:t>
            </w:r>
          </w:p>
        </w:tc>
      </w:tr>
      <w:tr w:rsidR="00D43BFE" w:rsidRPr="00E4247B" w14:paraId="1A071166"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44157500" w14:textId="0A7BBEA0" w:rsidR="00D43BFE" w:rsidRDefault="00D43BFE" w:rsidP="00D43BFE">
            <w:pPr>
              <w:spacing w:after="0" w:line="240" w:lineRule="auto"/>
              <w:rPr>
                <w:rFonts w:cs="Arial"/>
                <w:color w:val="000000"/>
                <w:sz w:val="24"/>
                <w:szCs w:val="24"/>
              </w:rPr>
            </w:pPr>
            <w:r>
              <w:t>Able to influence senior partners including directors and CEOs</w:t>
            </w:r>
          </w:p>
        </w:tc>
        <w:tc>
          <w:tcPr>
            <w:tcW w:w="1429" w:type="dxa"/>
            <w:gridSpan w:val="2"/>
            <w:tcBorders>
              <w:bottom w:val="single" w:sz="8" w:space="0" w:color="000000"/>
              <w:right w:val="single" w:sz="8" w:space="0" w:color="000000"/>
            </w:tcBorders>
            <w:shd w:val="clear" w:color="auto" w:fill="FFFFFF"/>
          </w:tcPr>
          <w:p w14:paraId="06365380" w14:textId="13F6480C" w:rsidR="00D43BFE" w:rsidRDefault="00D43BFE" w:rsidP="00D43BFE">
            <w:pPr>
              <w:spacing w:line="70" w:lineRule="atLeast"/>
              <w:jc w:val="center"/>
              <w:rPr>
                <w:rFonts w:cs="Arial"/>
                <w:sz w:val="24"/>
                <w:szCs w:val="24"/>
              </w:rPr>
            </w:pPr>
            <w:r>
              <w:rPr>
                <w:rFonts w:cs="Arial"/>
                <w:sz w:val="24"/>
                <w:szCs w:val="24"/>
              </w:rPr>
              <w:t>E</w:t>
            </w:r>
          </w:p>
        </w:tc>
        <w:tc>
          <w:tcPr>
            <w:tcW w:w="1406" w:type="dxa"/>
            <w:gridSpan w:val="2"/>
            <w:tcBorders>
              <w:bottom w:val="single" w:sz="8" w:space="0" w:color="000000"/>
              <w:right w:val="single" w:sz="8" w:space="0" w:color="000000"/>
            </w:tcBorders>
            <w:shd w:val="clear" w:color="auto" w:fill="FFFFFF"/>
          </w:tcPr>
          <w:p w14:paraId="6D2E0873" w14:textId="6A369DA5" w:rsidR="00D43BFE" w:rsidRPr="00E4247B" w:rsidRDefault="00D43BFE" w:rsidP="00D43BFE">
            <w:pPr>
              <w:spacing w:line="70" w:lineRule="atLeast"/>
              <w:jc w:val="center"/>
              <w:rPr>
                <w:rFonts w:cs="Arial"/>
                <w:sz w:val="24"/>
                <w:szCs w:val="24"/>
              </w:rPr>
            </w:pPr>
            <w:r w:rsidRPr="00E4247B">
              <w:rPr>
                <w:rFonts w:cs="Arial"/>
                <w:sz w:val="24"/>
                <w:szCs w:val="24"/>
              </w:rPr>
              <w:t>A/I</w:t>
            </w:r>
          </w:p>
        </w:tc>
      </w:tr>
      <w:tr w:rsidR="00D43BFE" w:rsidRPr="00E4247B" w14:paraId="34F62330" w14:textId="77777777" w:rsidTr="0072212B">
        <w:trPr>
          <w:trHeight w:val="70"/>
        </w:trPr>
        <w:tc>
          <w:tcPr>
            <w:tcW w:w="7029" w:type="dxa"/>
            <w:tcBorders>
              <w:top w:val="single" w:sz="4" w:space="0" w:color="auto"/>
              <w:left w:val="single" w:sz="8" w:space="0" w:color="000000"/>
              <w:bottom w:val="single" w:sz="8" w:space="0" w:color="000000"/>
              <w:right w:val="single" w:sz="8" w:space="0" w:color="000000"/>
            </w:tcBorders>
            <w:shd w:val="clear" w:color="auto" w:fill="FFFFFF"/>
          </w:tcPr>
          <w:p w14:paraId="4858A434" w14:textId="22393A5C" w:rsidR="00D43BFE" w:rsidRPr="00863F77" w:rsidRDefault="00D43BFE" w:rsidP="00D43BFE">
            <w:pPr>
              <w:spacing w:after="60" w:line="240" w:lineRule="auto"/>
              <w:rPr>
                <w:rFonts w:cs="Arial"/>
                <w:color w:val="373A3C"/>
                <w:sz w:val="24"/>
                <w:szCs w:val="24"/>
                <w:lang w:val="en"/>
              </w:rPr>
            </w:pPr>
            <w:r>
              <w:t>Excellent oral and written communication skills (including dealing with the media) and presentation skills.</w:t>
            </w:r>
          </w:p>
        </w:tc>
        <w:tc>
          <w:tcPr>
            <w:tcW w:w="1418" w:type="dxa"/>
            <w:tcBorders>
              <w:top w:val="single" w:sz="4" w:space="0" w:color="auto"/>
              <w:bottom w:val="single" w:sz="8" w:space="0" w:color="000000"/>
              <w:right w:val="single" w:sz="8" w:space="0" w:color="000000"/>
            </w:tcBorders>
            <w:shd w:val="clear" w:color="auto" w:fill="FFFFFF"/>
          </w:tcPr>
          <w:p w14:paraId="0BA03F40" w14:textId="77777777" w:rsidR="00D43BFE" w:rsidRPr="00E4247B" w:rsidRDefault="00D43BFE" w:rsidP="00D43BFE">
            <w:pPr>
              <w:spacing w:line="70" w:lineRule="atLeast"/>
              <w:jc w:val="center"/>
              <w:rPr>
                <w:rFonts w:cs="Arial"/>
                <w:sz w:val="24"/>
                <w:szCs w:val="24"/>
              </w:rPr>
            </w:pPr>
            <w:r>
              <w:rPr>
                <w:rFonts w:cs="Arial"/>
                <w:sz w:val="24"/>
                <w:szCs w:val="24"/>
              </w:rPr>
              <w:t>E</w:t>
            </w:r>
          </w:p>
        </w:tc>
        <w:tc>
          <w:tcPr>
            <w:tcW w:w="1417" w:type="dxa"/>
            <w:gridSpan w:val="3"/>
            <w:tcBorders>
              <w:top w:val="single" w:sz="4" w:space="0" w:color="auto"/>
              <w:bottom w:val="single" w:sz="8" w:space="0" w:color="000000"/>
              <w:right w:val="single" w:sz="8" w:space="0" w:color="000000"/>
            </w:tcBorders>
            <w:shd w:val="clear" w:color="auto" w:fill="FFFFFF"/>
          </w:tcPr>
          <w:p w14:paraId="1DA7445B" w14:textId="77777777" w:rsidR="00D43BFE" w:rsidRDefault="00D43BFE" w:rsidP="00D43BFE">
            <w:pPr>
              <w:spacing w:line="70" w:lineRule="atLeast"/>
              <w:jc w:val="center"/>
              <w:rPr>
                <w:rFonts w:cs="Arial"/>
                <w:sz w:val="24"/>
                <w:szCs w:val="24"/>
              </w:rPr>
            </w:pPr>
            <w:r w:rsidRPr="00E4247B">
              <w:rPr>
                <w:rFonts w:cs="Arial"/>
                <w:sz w:val="24"/>
                <w:szCs w:val="24"/>
              </w:rPr>
              <w:t>A/I</w:t>
            </w:r>
            <w:r>
              <w:rPr>
                <w:rFonts w:cs="Arial"/>
                <w:sz w:val="24"/>
                <w:szCs w:val="24"/>
              </w:rPr>
              <w:t>/T</w:t>
            </w:r>
          </w:p>
        </w:tc>
      </w:tr>
      <w:tr w:rsidR="00543591" w:rsidRPr="00E4247B" w14:paraId="705CDE94"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543A09C7" w14:textId="5B23DE09" w:rsidR="00543591" w:rsidRDefault="00543591" w:rsidP="00543591">
            <w:pPr>
              <w:spacing w:line="240" w:lineRule="auto"/>
              <w:ind w:left="57"/>
            </w:pPr>
            <w:r>
              <w:t>Ability to deal with complex public health challenges in a multi-organisational environment with differing governance and finance systems</w:t>
            </w:r>
          </w:p>
        </w:tc>
        <w:tc>
          <w:tcPr>
            <w:tcW w:w="1418" w:type="dxa"/>
            <w:tcBorders>
              <w:bottom w:val="single" w:sz="8" w:space="0" w:color="000000"/>
              <w:right w:val="single" w:sz="8" w:space="0" w:color="000000"/>
            </w:tcBorders>
            <w:shd w:val="clear" w:color="auto" w:fill="FFFFFF"/>
          </w:tcPr>
          <w:p w14:paraId="51960450" w14:textId="0F8627DB" w:rsidR="00543591" w:rsidRDefault="00543591" w:rsidP="00543591">
            <w:pPr>
              <w:spacing w:line="70" w:lineRule="atLeast"/>
              <w:jc w:val="center"/>
              <w:rPr>
                <w:rFonts w:cs="Arial"/>
                <w:sz w:val="24"/>
                <w:szCs w:val="24"/>
              </w:rPr>
            </w:pPr>
            <w:r>
              <w:rPr>
                <w:rFonts w:cs="Arial"/>
                <w:sz w:val="24"/>
                <w:szCs w:val="24"/>
              </w:rPr>
              <w:t>E</w:t>
            </w:r>
          </w:p>
        </w:tc>
        <w:tc>
          <w:tcPr>
            <w:tcW w:w="1417" w:type="dxa"/>
            <w:gridSpan w:val="3"/>
            <w:tcBorders>
              <w:bottom w:val="single" w:sz="8" w:space="0" w:color="000000"/>
              <w:right w:val="single" w:sz="8" w:space="0" w:color="000000"/>
            </w:tcBorders>
            <w:shd w:val="clear" w:color="auto" w:fill="FFFFFF"/>
          </w:tcPr>
          <w:p w14:paraId="033055EC" w14:textId="28B3C65D" w:rsidR="00543591" w:rsidRDefault="00543591" w:rsidP="00543591">
            <w:pPr>
              <w:spacing w:line="70" w:lineRule="atLeast"/>
              <w:jc w:val="center"/>
              <w:rPr>
                <w:rFonts w:cs="Arial"/>
                <w:sz w:val="24"/>
                <w:szCs w:val="24"/>
              </w:rPr>
            </w:pPr>
            <w:r w:rsidRPr="00E4247B">
              <w:rPr>
                <w:rFonts w:cs="Arial"/>
                <w:sz w:val="24"/>
                <w:szCs w:val="24"/>
              </w:rPr>
              <w:t>A/I</w:t>
            </w:r>
            <w:r>
              <w:rPr>
                <w:rFonts w:cs="Arial"/>
                <w:sz w:val="24"/>
                <w:szCs w:val="24"/>
              </w:rPr>
              <w:t>/T</w:t>
            </w:r>
          </w:p>
        </w:tc>
      </w:tr>
      <w:tr w:rsidR="00543591" w:rsidRPr="00E4247B" w14:paraId="62B7616C"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431C99CD" w14:textId="5D6608A0" w:rsidR="00543591" w:rsidRPr="00E4247B" w:rsidRDefault="00543591" w:rsidP="00543591">
            <w:pPr>
              <w:spacing w:after="0" w:line="240" w:lineRule="auto"/>
            </w:pPr>
            <w:r>
              <w:t>Substantially numerate, with highly developed analytical skills using qualitative and quantitative data.</w:t>
            </w:r>
          </w:p>
        </w:tc>
        <w:tc>
          <w:tcPr>
            <w:tcW w:w="1418" w:type="dxa"/>
            <w:tcBorders>
              <w:bottom w:val="single" w:sz="8" w:space="0" w:color="000000"/>
              <w:right w:val="single" w:sz="8" w:space="0" w:color="000000"/>
            </w:tcBorders>
            <w:shd w:val="clear" w:color="auto" w:fill="FFFFFF"/>
          </w:tcPr>
          <w:p w14:paraId="407A3BE6" w14:textId="4CAB2460" w:rsidR="00543591" w:rsidRPr="00E4247B" w:rsidRDefault="00543591" w:rsidP="00543591">
            <w:pPr>
              <w:spacing w:line="70" w:lineRule="atLeast"/>
              <w:jc w:val="center"/>
              <w:rPr>
                <w:rFonts w:cs="Arial"/>
                <w:sz w:val="24"/>
                <w:szCs w:val="24"/>
              </w:rPr>
            </w:pPr>
            <w:r>
              <w:rPr>
                <w:rFonts w:cs="Arial"/>
                <w:sz w:val="24"/>
                <w:szCs w:val="24"/>
              </w:rPr>
              <w:t>E</w:t>
            </w:r>
          </w:p>
        </w:tc>
        <w:tc>
          <w:tcPr>
            <w:tcW w:w="1417" w:type="dxa"/>
            <w:gridSpan w:val="3"/>
            <w:tcBorders>
              <w:bottom w:val="single" w:sz="8" w:space="0" w:color="000000"/>
              <w:right w:val="single" w:sz="8" w:space="0" w:color="000000"/>
            </w:tcBorders>
            <w:shd w:val="clear" w:color="auto" w:fill="FFFFFF"/>
          </w:tcPr>
          <w:p w14:paraId="2C58B8D4" w14:textId="77777777" w:rsidR="00543591" w:rsidRPr="00E4247B" w:rsidRDefault="00543591" w:rsidP="00543591">
            <w:pPr>
              <w:spacing w:line="70" w:lineRule="atLeast"/>
              <w:jc w:val="center"/>
              <w:rPr>
                <w:rFonts w:cs="Arial"/>
                <w:sz w:val="24"/>
                <w:szCs w:val="24"/>
              </w:rPr>
            </w:pPr>
            <w:r>
              <w:rPr>
                <w:rFonts w:cs="Arial"/>
                <w:sz w:val="24"/>
                <w:szCs w:val="24"/>
              </w:rPr>
              <w:t>A/I</w:t>
            </w:r>
          </w:p>
        </w:tc>
      </w:tr>
      <w:tr w:rsidR="00543591" w:rsidRPr="00E4247B" w14:paraId="3594987C"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63ABBF2C" w14:textId="3CE4BA1F" w:rsidR="00543591" w:rsidRDefault="00543591" w:rsidP="00543591">
            <w:pPr>
              <w:spacing w:after="0" w:line="240" w:lineRule="auto"/>
            </w:pPr>
            <w:r>
              <w:t xml:space="preserve">Ability to design, develop, </w:t>
            </w:r>
            <w:proofErr w:type="gramStart"/>
            <w:r>
              <w:t>interpret</w:t>
            </w:r>
            <w:proofErr w:type="gramEnd"/>
            <w:r>
              <w:t xml:space="preserve"> and implement policies.</w:t>
            </w:r>
          </w:p>
        </w:tc>
        <w:tc>
          <w:tcPr>
            <w:tcW w:w="1418" w:type="dxa"/>
            <w:tcBorders>
              <w:bottom w:val="single" w:sz="8" w:space="0" w:color="000000"/>
              <w:right w:val="single" w:sz="8" w:space="0" w:color="000000"/>
            </w:tcBorders>
            <w:shd w:val="clear" w:color="auto" w:fill="FFFFFF"/>
          </w:tcPr>
          <w:p w14:paraId="4ED1F7D0" w14:textId="77777777" w:rsidR="00543591" w:rsidRDefault="00543591" w:rsidP="00543591">
            <w:pPr>
              <w:spacing w:line="70" w:lineRule="atLeast"/>
              <w:jc w:val="center"/>
              <w:rPr>
                <w:rFonts w:cs="Arial"/>
                <w:sz w:val="24"/>
                <w:szCs w:val="24"/>
              </w:rPr>
            </w:pPr>
          </w:p>
        </w:tc>
        <w:tc>
          <w:tcPr>
            <w:tcW w:w="1417" w:type="dxa"/>
            <w:gridSpan w:val="3"/>
            <w:tcBorders>
              <w:bottom w:val="single" w:sz="8" w:space="0" w:color="000000"/>
              <w:right w:val="single" w:sz="8" w:space="0" w:color="000000"/>
            </w:tcBorders>
            <w:shd w:val="clear" w:color="auto" w:fill="FFFFFF"/>
          </w:tcPr>
          <w:p w14:paraId="681CD7ED" w14:textId="77777777" w:rsidR="00543591" w:rsidRDefault="00543591" w:rsidP="00543591">
            <w:pPr>
              <w:spacing w:line="70" w:lineRule="atLeast"/>
              <w:jc w:val="center"/>
              <w:rPr>
                <w:rFonts w:cs="Arial"/>
                <w:sz w:val="24"/>
                <w:szCs w:val="24"/>
              </w:rPr>
            </w:pPr>
          </w:p>
        </w:tc>
      </w:tr>
      <w:tr w:rsidR="00543591" w:rsidRPr="00E4247B" w14:paraId="693789B8"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17B5C8FC" w14:textId="3B44C38E" w:rsidR="00543591" w:rsidRDefault="00543591" w:rsidP="00543591">
            <w:pPr>
              <w:spacing w:after="0" w:line="240" w:lineRule="auto"/>
            </w:pPr>
            <w:r>
              <w:lastRenderedPageBreak/>
              <w:t>Ability to concentrate for long periods (</w:t>
            </w:r>
            <w:proofErr w:type="gramStart"/>
            <w:r>
              <w:t>e.g.</w:t>
            </w:r>
            <w:proofErr w:type="gramEnd"/>
            <w:r>
              <w:t xml:space="preserve"> analyses, media presentations).</w:t>
            </w:r>
          </w:p>
        </w:tc>
        <w:tc>
          <w:tcPr>
            <w:tcW w:w="1418" w:type="dxa"/>
            <w:tcBorders>
              <w:bottom w:val="single" w:sz="8" w:space="0" w:color="000000"/>
              <w:right w:val="single" w:sz="8" w:space="0" w:color="000000"/>
            </w:tcBorders>
            <w:shd w:val="clear" w:color="auto" w:fill="FFFFFF"/>
          </w:tcPr>
          <w:p w14:paraId="33EC32CE" w14:textId="77777777" w:rsidR="00543591" w:rsidRDefault="00543591" w:rsidP="00543591">
            <w:pPr>
              <w:spacing w:line="70" w:lineRule="atLeast"/>
              <w:jc w:val="center"/>
              <w:rPr>
                <w:rFonts w:cs="Arial"/>
                <w:sz w:val="24"/>
                <w:szCs w:val="24"/>
              </w:rPr>
            </w:pPr>
          </w:p>
        </w:tc>
        <w:tc>
          <w:tcPr>
            <w:tcW w:w="1417" w:type="dxa"/>
            <w:gridSpan w:val="3"/>
            <w:tcBorders>
              <w:bottom w:val="single" w:sz="8" w:space="0" w:color="000000"/>
              <w:right w:val="single" w:sz="8" w:space="0" w:color="000000"/>
            </w:tcBorders>
            <w:shd w:val="clear" w:color="auto" w:fill="FFFFFF"/>
          </w:tcPr>
          <w:p w14:paraId="0765D8B7" w14:textId="77777777" w:rsidR="00543591" w:rsidRDefault="00543591" w:rsidP="00543591">
            <w:pPr>
              <w:spacing w:line="70" w:lineRule="atLeast"/>
              <w:jc w:val="center"/>
              <w:rPr>
                <w:rFonts w:cs="Arial"/>
                <w:sz w:val="24"/>
                <w:szCs w:val="24"/>
              </w:rPr>
            </w:pPr>
          </w:p>
        </w:tc>
      </w:tr>
      <w:tr w:rsidR="00543591" w:rsidRPr="00E4247B" w14:paraId="2541E81E" w14:textId="77777777" w:rsidTr="0072212B">
        <w:trPr>
          <w:trHeight w:val="70"/>
        </w:trPr>
        <w:tc>
          <w:tcPr>
            <w:tcW w:w="7029" w:type="dxa"/>
            <w:tcBorders>
              <w:left w:val="single" w:sz="8" w:space="0" w:color="000000"/>
              <w:bottom w:val="single" w:sz="8" w:space="0" w:color="000000"/>
              <w:right w:val="single" w:sz="8" w:space="0" w:color="000000"/>
            </w:tcBorders>
            <w:shd w:val="clear" w:color="auto" w:fill="FFFFFF"/>
          </w:tcPr>
          <w:p w14:paraId="6A9B189B" w14:textId="2DC503EA" w:rsidR="00543591" w:rsidRDefault="00543591" w:rsidP="00543591">
            <w:pPr>
              <w:spacing w:after="0" w:line="240" w:lineRule="auto"/>
            </w:pPr>
            <w:r>
              <w:t>Resource management skills</w:t>
            </w:r>
          </w:p>
        </w:tc>
        <w:tc>
          <w:tcPr>
            <w:tcW w:w="1418" w:type="dxa"/>
            <w:tcBorders>
              <w:bottom w:val="single" w:sz="8" w:space="0" w:color="000000"/>
              <w:right w:val="single" w:sz="8" w:space="0" w:color="000000"/>
            </w:tcBorders>
            <w:shd w:val="clear" w:color="auto" w:fill="FFFFFF"/>
          </w:tcPr>
          <w:p w14:paraId="5B0BE699" w14:textId="77777777" w:rsidR="00543591" w:rsidRDefault="00543591" w:rsidP="00543591">
            <w:pPr>
              <w:spacing w:line="70" w:lineRule="atLeast"/>
              <w:jc w:val="center"/>
              <w:rPr>
                <w:rFonts w:cs="Arial"/>
                <w:sz w:val="24"/>
                <w:szCs w:val="24"/>
              </w:rPr>
            </w:pPr>
          </w:p>
        </w:tc>
        <w:tc>
          <w:tcPr>
            <w:tcW w:w="1417" w:type="dxa"/>
            <w:gridSpan w:val="3"/>
            <w:tcBorders>
              <w:bottom w:val="single" w:sz="8" w:space="0" w:color="000000"/>
              <w:right w:val="single" w:sz="8" w:space="0" w:color="000000"/>
            </w:tcBorders>
            <w:shd w:val="clear" w:color="auto" w:fill="FFFFFF"/>
          </w:tcPr>
          <w:p w14:paraId="729A51D2" w14:textId="77777777" w:rsidR="00543591" w:rsidRDefault="00543591" w:rsidP="00543591">
            <w:pPr>
              <w:spacing w:line="70" w:lineRule="atLeast"/>
              <w:jc w:val="center"/>
              <w:rPr>
                <w:rFonts w:cs="Arial"/>
                <w:sz w:val="24"/>
                <w:szCs w:val="24"/>
              </w:rPr>
            </w:pPr>
          </w:p>
        </w:tc>
      </w:tr>
      <w:tr w:rsidR="00543591" w:rsidRPr="00E4247B" w14:paraId="23DD0BE3" w14:textId="77777777" w:rsidTr="0072212B">
        <w:trPr>
          <w:trHeight w:val="70"/>
        </w:trPr>
        <w:tc>
          <w:tcPr>
            <w:tcW w:w="8447" w:type="dxa"/>
            <w:gridSpan w:val="2"/>
            <w:tcBorders>
              <w:left w:val="single" w:sz="8" w:space="0" w:color="000000"/>
              <w:bottom w:val="single" w:sz="8" w:space="0" w:color="000000"/>
              <w:right w:val="single" w:sz="8" w:space="0" w:color="000000"/>
            </w:tcBorders>
            <w:shd w:val="clear" w:color="auto" w:fill="D9D9D9"/>
            <w:hideMark/>
          </w:tcPr>
          <w:p w14:paraId="30216638" w14:textId="77777777" w:rsidR="00543591" w:rsidRPr="00E4247B" w:rsidRDefault="00543591" w:rsidP="00543591">
            <w:pPr>
              <w:spacing w:line="70" w:lineRule="atLeast"/>
              <w:ind w:left="57"/>
              <w:rPr>
                <w:rFonts w:cs="Arial"/>
                <w:sz w:val="24"/>
                <w:szCs w:val="24"/>
              </w:rPr>
            </w:pPr>
            <w:bookmarkStart w:id="0" w:name="_Hlk10194263"/>
            <w:r w:rsidRPr="00E4247B">
              <w:rPr>
                <w:rFonts w:cs="Arial"/>
                <w:b/>
                <w:bCs/>
                <w:sz w:val="24"/>
                <w:szCs w:val="24"/>
              </w:rPr>
              <w:t>Qualifications</w:t>
            </w:r>
          </w:p>
        </w:tc>
        <w:tc>
          <w:tcPr>
            <w:tcW w:w="1417" w:type="dxa"/>
            <w:gridSpan w:val="3"/>
            <w:tcBorders>
              <w:left w:val="single" w:sz="8" w:space="0" w:color="000000"/>
              <w:bottom w:val="single" w:sz="8" w:space="0" w:color="000000"/>
              <w:right w:val="single" w:sz="8" w:space="0" w:color="000000"/>
            </w:tcBorders>
            <w:shd w:val="clear" w:color="auto" w:fill="D9D9D9"/>
          </w:tcPr>
          <w:p w14:paraId="0C5B4119" w14:textId="77777777" w:rsidR="00543591" w:rsidRPr="00E4247B" w:rsidRDefault="00543591" w:rsidP="00543591">
            <w:pPr>
              <w:spacing w:line="70" w:lineRule="atLeast"/>
              <w:ind w:left="57"/>
              <w:jc w:val="center"/>
              <w:rPr>
                <w:rFonts w:cs="Arial"/>
                <w:b/>
                <w:bCs/>
                <w:sz w:val="24"/>
                <w:szCs w:val="24"/>
              </w:rPr>
            </w:pPr>
          </w:p>
        </w:tc>
      </w:tr>
      <w:bookmarkEnd w:id="0"/>
      <w:tr w:rsidR="00543591" w:rsidRPr="00E4247B" w14:paraId="35A75270" w14:textId="77777777" w:rsidTr="0072212B">
        <w:trPr>
          <w:trHeight w:val="70"/>
        </w:trPr>
        <w:tc>
          <w:tcPr>
            <w:tcW w:w="7029" w:type="dxa"/>
            <w:tcBorders>
              <w:left w:val="single" w:sz="8" w:space="0" w:color="000000"/>
              <w:bottom w:val="single" w:sz="4" w:space="0" w:color="auto"/>
              <w:right w:val="single" w:sz="8" w:space="0" w:color="000000"/>
            </w:tcBorders>
            <w:shd w:val="clear" w:color="auto" w:fill="FFFFFF"/>
          </w:tcPr>
          <w:p w14:paraId="721DD8F5" w14:textId="74E36086" w:rsidR="00543591" w:rsidRPr="00E4247B" w:rsidRDefault="00543591" w:rsidP="00543591">
            <w:pPr>
              <w:spacing w:line="240" w:lineRule="auto"/>
              <w:ind w:left="57"/>
              <w:rPr>
                <w:rFonts w:cs="Arial"/>
                <w:sz w:val="24"/>
                <w:szCs w:val="24"/>
              </w:rPr>
            </w:pPr>
            <w:r>
              <w:t>I</w:t>
            </w:r>
            <w:r w:rsidRPr="0004617A">
              <w:t xml:space="preserve">nclusion in the GMC Specialist Register/GDC Specialist List/UK Public Health Register (UKPHR) for Public Health Specialists. </w:t>
            </w:r>
          </w:p>
        </w:tc>
        <w:tc>
          <w:tcPr>
            <w:tcW w:w="1418" w:type="dxa"/>
            <w:tcBorders>
              <w:bottom w:val="single" w:sz="4" w:space="0" w:color="auto"/>
              <w:right w:val="single" w:sz="8" w:space="0" w:color="000000"/>
            </w:tcBorders>
            <w:shd w:val="clear" w:color="auto" w:fill="FFFFFF"/>
          </w:tcPr>
          <w:p w14:paraId="7E191281" w14:textId="77777777" w:rsidR="00543591" w:rsidRPr="00E4247B" w:rsidRDefault="00543591" w:rsidP="00543591">
            <w:pPr>
              <w:spacing w:line="70" w:lineRule="atLeast"/>
              <w:jc w:val="center"/>
              <w:rPr>
                <w:rFonts w:cs="Arial"/>
                <w:sz w:val="24"/>
                <w:szCs w:val="24"/>
              </w:rPr>
            </w:pPr>
            <w:r>
              <w:rPr>
                <w:rFonts w:cs="Arial"/>
                <w:sz w:val="24"/>
                <w:szCs w:val="24"/>
              </w:rPr>
              <w:t>E</w:t>
            </w:r>
          </w:p>
        </w:tc>
        <w:tc>
          <w:tcPr>
            <w:tcW w:w="1417" w:type="dxa"/>
            <w:gridSpan w:val="3"/>
            <w:tcBorders>
              <w:bottom w:val="single" w:sz="4" w:space="0" w:color="auto"/>
              <w:right w:val="single" w:sz="8" w:space="0" w:color="000000"/>
            </w:tcBorders>
            <w:shd w:val="clear" w:color="auto" w:fill="FFFFFF"/>
          </w:tcPr>
          <w:p w14:paraId="22E7E776" w14:textId="77777777" w:rsidR="00543591" w:rsidRPr="00E4247B" w:rsidRDefault="00543591" w:rsidP="00543591">
            <w:pPr>
              <w:spacing w:line="70" w:lineRule="atLeast"/>
              <w:jc w:val="center"/>
              <w:rPr>
                <w:rFonts w:cs="Arial"/>
                <w:sz w:val="24"/>
                <w:szCs w:val="24"/>
              </w:rPr>
            </w:pPr>
            <w:r>
              <w:rPr>
                <w:rFonts w:cs="Arial"/>
                <w:sz w:val="24"/>
                <w:szCs w:val="24"/>
              </w:rPr>
              <w:t>A/C</w:t>
            </w:r>
          </w:p>
        </w:tc>
      </w:tr>
      <w:tr w:rsidR="00543591" w:rsidRPr="00E4247B" w14:paraId="17C4F082" w14:textId="77777777" w:rsidTr="0072212B">
        <w:trPr>
          <w:trHeight w:val="70"/>
        </w:trPr>
        <w:tc>
          <w:tcPr>
            <w:tcW w:w="7029" w:type="dxa"/>
            <w:tcBorders>
              <w:top w:val="single" w:sz="4" w:space="0" w:color="auto"/>
              <w:left w:val="single" w:sz="8" w:space="0" w:color="000000"/>
              <w:bottom w:val="single" w:sz="4" w:space="0" w:color="auto"/>
              <w:right w:val="single" w:sz="8" w:space="0" w:color="000000"/>
            </w:tcBorders>
            <w:shd w:val="clear" w:color="auto" w:fill="FFFFFF"/>
          </w:tcPr>
          <w:p w14:paraId="19523F91" w14:textId="77777777" w:rsidR="00543591" w:rsidRDefault="00543591" w:rsidP="00543591">
            <w:pPr>
              <w:spacing w:line="240" w:lineRule="auto"/>
              <w:ind w:left="57"/>
            </w:pPr>
            <w:r w:rsidRPr="0004617A">
              <w:t xml:space="preserve">If included in the GMC Specialist Register/GDC Specialist List in a specialty other than public health medicine/dental public health, candidates must have equivalent training and/or appropriate experience of public health medicine practice. </w:t>
            </w:r>
          </w:p>
          <w:p w14:paraId="6F1271D8" w14:textId="01BF0C94" w:rsidR="00543591" w:rsidRPr="00E4247B" w:rsidRDefault="00543591" w:rsidP="00543591">
            <w:pPr>
              <w:spacing w:line="240" w:lineRule="auto"/>
              <w:ind w:left="57"/>
              <w:rPr>
                <w:rFonts w:cs="Arial"/>
                <w:sz w:val="24"/>
                <w:szCs w:val="24"/>
              </w:rPr>
            </w:pPr>
            <w:r w:rsidRPr="0004617A">
              <w:t>Public health specialty registrar applicants who are not yet on the GMC Specialist Register/GDC Specialist List in dental public health/UKPHR must provide verifiable signed documentary evidence that they are within 6 months of gaining entry at the date of interview; all other applicants must provide verifiable signed documentary evidence that they have applied for inclusion in the GMC/GDC/UKPHR specialist registers [see shortlisting notes below for additional guidance].</w:t>
            </w:r>
          </w:p>
        </w:tc>
        <w:tc>
          <w:tcPr>
            <w:tcW w:w="1418" w:type="dxa"/>
            <w:tcBorders>
              <w:top w:val="single" w:sz="4" w:space="0" w:color="auto"/>
              <w:bottom w:val="single" w:sz="4" w:space="0" w:color="auto"/>
              <w:right w:val="single" w:sz="8" w:space="0" w:color="000000"/>
            </w:tcBorders>
            <w:shd w:val="clear" w:color="auto" w:fill="FFFFFF"/>
          </w:tcPr>
          <w:p w14:paraId="31A65F89" w14:textId="6693CA13" w:rsidR="00543591" w:rsidRPr="00E4247B" w:rsidRDefault="00543591" w:rsidP="00543591">
            <w:pPr>
              <w:spacing w:line="70" w:lineRule="atLeast"/>
              <w:jc w:val="center"/>
              <w:rPr>
                <w:rFonts w:cs="Arial"/>
                <w:sz w:val="24"/>
                <w:szCs w:val="24"/>
              </w:rPr>
            </w:pPr>
            <w:r>
              <w:rPr>
                <w:rFonts w:cs="Arial"/>
                <w:sz w:val="24"/>
                <w:szCs w:val="24"/>
              </w:rPr>
              <w:t>E</w:t>
            </w:r>
          </w:p>
        </w:tc>
        <w:tc>
          <w:tcPr>
            <w:tcW w:w="1417" w:type="dxa"/>
            <w:gridSpan w:val="3"/>
            <w:tcBorders>
              <w:top w:val="single" w:sz="4" w:space="0" w:color="auto"/>
              <w:bottom w:val="single" w:sz="4" w:space="0" w:color="auto"/>
              <w:right w:val="single" w:sz="8" w:space="0" w:color="000000"/>
            </w:tcBorders>
            <w:shd w:val="clear" w:color="auto" w:fill="FFFFFF"/>
          </w:tcPr>
          <w:p w14:paraId="56ABCC2E" w14:textId="77777777" w:rsidR="00543591" w:rsidRPr="00E4247B" w:rsidRDefault="00543591" w:rsidP="00543591">
            <w:pPr>
              <w:spacing w:line="70" w:lineRule="atLeast"/>
              <w:jc w:val="center"/>
              <w:rPr>
                <w:rFonts w:cs="Arial"/>
                <w:sz w:val="24"/>
                <w:szCs w:val="24"/>
              </w:rPr>
            </w:pPr>
            <w:r>
              <w:rPr>
                <w:rFonts w:cs="Arial"/>
                <w:sz w:val="24"/>
                <w:szCs w:val="24"/>
              </w:rPr>
              <w:t>A/C</w:t>
            </w:r>
          </w:p>
        </w:tc>
      </w:tr>
      <w:tr w:rsidR="00543591" w:rsidRPr="00E4247B" w14:paraId="0C093366" w14:textId="77777777" w:rsidTr="0072212B">
        <w:trPr>
          <w:trHeight w:val="70"/>
        </w:trPr>
        <w:tc>
          <w:tcPr>
            <w:tcW w:w="7029" w:type="dxa"/>
            <w:tcBorders>
              <w:top w:val="single" w:sz="4" w:space="0" w:color="auto"/>
              <w:left w:val="single" w:sz="8" w:space="0" w:color="000000"/>
              <w:bottom w:val="single" w:sz="4" w:space="0" w:color="auto"/>
              <w:right w:val="single" w:sz="8" w:space="0" w:color="000000"/>
            </w:tcBorders>
            <w:shd w:val="clear" w:color="auto" w:fill="FFFFFF"/>
          </w:tcPr>
          <w:p w14:paraId="686BBE0D" w14:textId="557E99E9" w:rsidR="00543591" w:rsidRPr="0004617A" w:rsidRDefault="00543591" w:rsidP="00543591">
            <w:pPr>
              <w:spacing w:line="240" w:lineRule="auto"/>
              <w:ind w:left="57"/>
            </w:pPr>
            <w:r w:rsidRPr="0004617A">
              <w:t>Applicants must meet minimum CPD requirements (</w:t>
            </w:r>
            <w:proofErr w:type="gramStart"/>
            <w:r w:rsidRPr="0004617A">
              <w:t>i.e.</w:t>
            </w:r>
            <w:proofErr w:type="gramEnd"/>
            <w:r w:rsidRPr="0004617A">
              <w:t xml:space="preserve"> be up to date) in accordance with Faculty of Public Health requirements or other recognised body</w:t>
            </w:r>
          </w:p>
        </w:tc>
        <w:tc>
          <w:tcPr>
            <w:tcW w:w="1418" w:type="dxa"/>
            <w:tcBorders>
              <w:top w:val="single" w:sz="4" w:space="0" w:color="auto"/>
              <w:bottom w:val="single" w:sz="4" w:space="0" w:color="auto"/>
              <w:right w:val="single" w:sz="8" w:space="0" w:color="000000"/>
            </w:tcBorders>
            <w:shd w:val="clear" w:color="auto" w:fill="FFFFFF"/>
          </w:tcPr>
          <w:p w14:paraId="0866DC88" w14:textId="2251B2D6" w:rsidR="00543591" w:rsidRDefault="00543591" w:rsidP="00543591">
            <w:pPr>
              <w:spacing w:line="70" w:lineRule="atLeast"/>
              <w:jc w:val="center"/>
              <w:rPr>
                <w:rFonts w:cs="Arial"/>
                <w:sz w:val="24"/>
                <w:szCs w:val="24"/>
              </w:rPr>
            </w:pPr>
            <w:r>
              <w:rPr>
                <w:rFonts w:cs="Arial"/>
                <w:sz w:val="24"/>
                <w:szCs w:val="24"/>
              </w:rPr>
              <w:t>E</w:t>
            </w:r>
          </w:p>
        </w:tc>
        <w:tc>
          <w:tcPr>
            <w:tcW w:w="1417" w:type="dxa"/>
            <w:gridSpan w:val="3"/>
            <w:tcBorders>
              <w:top w:val="single" w:sz="4" w:space="0" w:color="auto"/>
              <w:bottom w:val="single" w:sz="4" w:space="0" w:color="auto"/>
              <w:right w:val="single" w:sz="8" w:space="0" w:color="000000"/>
            </w:tcBorders>
            <w:shd w:val="clear" w:color="auto" w:fill="FFFFFF"/>
          </w:tcPr>
          <w:p w14:paraId="6D26FEC8" w14:textId="265EA3F8" w:rsidR="00543591" w:rsidRDefault="00543591" w:rsidP="00543591">
            <w:pPr>
              <w:spacing w:line="70" w:lineRule="atLeast"/>
              <w:jc w:val="center"/>
              <w:rPr>
                <w:rFonts w:cs="Arial"/>
                <w:sz w:val="24"/>
                <w:szCs w:val="24"/>
              </w:rPr>
            </w:pPr>
            <w:r>
              <w:rPr>
                <w:rFonts w:cs="Arial"/>
                <w:sz w:val="24"/>
                <w:szCs w:val="24"/>
              </w:rPr>
              <w:t>A/C</w:t>
            </w:r>
          </w:p>
        </w:tc>
      </w:tr>
      <w:tr w:rsidR="00543591" w:rsidRPr="00E4247B" w14:paraId="03D93557" w14:textId="77777777" w:rsidTr="0072212B">
        <w:trPr>
          <w:trHeight w:val="70"/>
        </w:trPr>
        <w:tc>
          <w:tcPr>
            <w:tcW w:w="7029" w:type="dxa"/>
            <w:tcBorders>
              <w:top w:val="single" w:sz="4" w:space="0" w:color="auto"/>
              <w:left w:val="single" w:sz="8" w:space="0" w:color="000000"/>
              <w:bottom w:val="single" w:sz="4" w:space="0" w:color="auto"/>
              <w:right w:val="single" w:sz="8" w:space="0" w:color="000000"/>
            </w:tcBorders>
            <w:shd w:val="clear" w:color="auto" w:fill="FFFFFF"/>
          </w:tcPr>
          <w:p w14:paraId="550AEBF1" w14:textId="7D91CC31" w:rsidR="00543591" w:rsidRPr="0004617A" w:rsidRDefault="00543591" w:rsidP="00543591">
            <w:pPr>
              <w:spacing w:line="240" w:lineRule="auto"/>
              <w:ind w:left="57"/>
            </w:pPr>
            <w:r>
              <w:t xml:space="preserve">MFPH by examination, by exemption or by assessment  </w:t>
            </w:r>
          </w:p>
        </w:tc>
        <w:tc>
          <w:tcPr>
            <w:tcW w:w="1418" w:type="dxa"/>
            <w:tcBorders>
              <w:top w:val="single" w:sz="4" w:space="0" w:color="auto"/>
              <w:bottom w:val="single" w:sz="4" w:space="0" w:color="auto"/>
              <w:right w:val="single" w:sz="8" w:space="0" w:color="000000"/>
            </w:tcBorders>
            <w:shd w:val="clear" w:color="auto" w:fill="FFFFFF"/>
          </w:tcPr>
          <w:p w14:paraId="1F0A66E0" w14:textId="768AA9A4" w:rsidR="00543591" w:rsidRDefault="00543591" w:rsidP="00543591">
            <w:pPr>
              <w:spacing w:line="70" w:lineRule="atLeast"/>
              <w:jc w:val="center"/>
              <w:rPr>
                <w:rFonts w:cs="Arial"/>
                <w:sz w:val="24"/>
                <w:szCs w:val="24"/>
              </w:rPr>
            </w:pPr>
            <w:r>
              <w:rPr>
                <w:rFonts w:cs="Arial"/>
                <w:sz w:val="24"/>
                <w:szCs w:val="24"/>
              </w:rPr>
              <w:t>D</w:t>
            </w:r>
          </w:p>
        </w:tc>
        <w:tc>
          <w:tcPr>
            <w:tcW w:w="1417" w:type="dxa"/>
            <w:gridSpan w:val="3"/>
            <w:tcBorders>
              <w:top w:val="single" w:sz="4" w:space="0" w:color="auto"/>
              <w:bottom w:val="single" w:sz="4" w:space="0" w:color="auto"/>
              <w:right w:val="single" w:sz="8" w:space="0" w:color="000000"/>
            </w:tcBorders>
            <w:shd w:val="clear" w:color="auto" w:fill="FFFFFF"/>
          </w:tcPr>
          <w:p w14:paraId="6D196F8C" w14:textId="17C5255B" w:rsidR="00543591" w:rsidRDefault="00543591" w:rsidP="00543591">
            <w:pPr>
              <w:spacing w:line="70" w:lineRule="atLeast"/>
              <w:jc w:val="center"/>
              <w:rPr>
                <w:rFonts w:cs="Arial"/>
                <w:sz w:val="24"/>
                <w:szCs w:val="24"/>
              </w:rPr>
            </w:pPr>
            <w:r>
              <w:rPr>
                <w:rFonts w:cs="Arial"/>
                <w:sz w:val="24"/>
                <w:szCs w:val="24"/>
              </w:rPr>
              <w:t>A/C</w:t>
            </w:r>
          </w:p>
        </w:tc>
      </w:tr>
      <w:tr w:rsidR="00543591" w:rsidRPr="00E4247B" w14:paraId="674A0FE6" w14:textId="77777777" w:rsidTr="0072212B">
        <w:trPr>
          <w:trHeight w:val="70"/>
        </w:trPr>
        <w:tc>
          <w:tcPr>
            <w:tcW w:w="7029" w:type="dxa"/>
            <w:tcBorders>
              <w:top w:val="single" w:sz="4" w:space="0" w:color="auto"/>
              <w:left w:val="single" w:sz="8" w:space="0" w:color="000000"/>
              <w:bottom w:val="single" w:sz="4" w:space="0" w:color="auto"/>
              <w:right w:val="single" w:sz="8" w:space="0" w:color="000000"/>
            </w:tcBorders>
            <w:shd w:val="clear" w:color="auto" w:fill="FFFFFF"/>
          </w:tcPr>
          <w:p w14:paraId="751C2A31" w14:textId="62CD3C2E" w:rsidR="00543591" w:rsidRPr="0004617A" w:rsidRDefault="00543591" w:rsidP="00543591">
            <w:pPr>
              <w:spacing w:line="240" w:lineRule="auto"/>
              <w:ind w:left="57"/>
            </w:pPr>
            <w:proofErr w:type="spellStart"/>
            <w:proofErr w:type="gramStart"/>
            <w:r>
              <w:t>Masters</w:t>
            </w:r>
            <w:proofErr w:type="spellEnd"/>
            <w:r>
              <w:t xml:space="preserve"> in Public Health</w:t>
            </w:r>
            <w:proofErr w:type="gramEnd"/>
          </w:p>
        </w:tc>
        <w:tc>
          <w:tcPr>
            <w:tcW w:w="1418" w:type="dxa"/>
            <w:tcBorders>
              <w:top w:val="single" w:sz="4" w:space="0" w:color="auto"/>
              <w:bottom w:val="single" w:sz="4" w:space="0" w:color="auto"/>
              <w:right w:val="single" w:sz="8" w:space="0" w:color="000000"/>
            </w:tcBorders>
            <w:shd w:val="clear" w:color="auto" w:fill="FFFFFF"/>
          </w:tcPr>
          <w:p w14:paraId="548B9236" w14:textId="409AFF39" w:rsidR="00543591" w:rsidRDefault="00543591" w:rsidP="00543591">
            <w:pPr>
              <w:spacing w:line="70" w:lineRule="atLeast"/>
              <w:jc w:val="center"/>
              <w:rPr>
                <w:rFonts w:cs="Arial"/>
                <w:sz w:val="24"/>
                <w:szCs w:val="24"/>
              </w:rPr>
            </w:pPr>
            <w:r>
              <w:rPr>
                <w:rFonts w:cs="Arial"/>
                <w:sz w:val="24"/>
                <w:szCs w:val="24"/>
              </w:rPr>
              <w:t>D</w:t>
            </w:r>
          </w:p>
        </w:tc>
        <w:tc>
          <w:tcPr>
            <w:tcW w:w="1417" w:type="dxa"/>
            <w:gridSpan w:val="3"/>
            <w:tcBorders>
              <w:top w:val="single" w:sz="4" w:space="0" w:color="auto"/>
              <w:bottom w:val="single" w:sz="4" w:space="0" w:color="auto"/>
              <w:right w:val="single" w:sz="8" w:space="0" w:color="000000"/>
            </w:tcBorders>
            <w:shd w:val="clear" w:color="auto" w:fill="FFFFFF"/>
          </w:tcPr>
          <w:p w14:paraId="0974F790" w14:textId="0136D9BF" w:rsidR="00543591" w:rsidRDefault="00543591" w:rsidP="00543591">
            <w:pPr>
              <w:spacing w:line="70" w:lineRule="atLeast"/>
              <w:jc w:val="center"/>
              <w:rPr>
                <w:rFonts w:cs="Arial"/>
                <w:sz w:val="24"/>
                <w:szCs w:val="24"/>
              </w:rPr>
            </w:pPr>
            <w:r>
              <w:rPr>
                <w:rFonts w:cs="Arial"/>
                <w:sz w:val="24"/>
                <w:szCs w:val="24"/>
              </w:rPr>
              <w:t>A/C</w:t>
            </w:r>
          </w:p>
        </w:tc>
      </w:tr>
    </w:tbl>
    <w:p w14:paraId="7A63C323" w14:textId="77777777" w:rsidR="00116812" w:rsidRPr="00B93846" w:rsidRDefault="00116812" w:rsidP="00116812">
      <w:pPr>
        <w:rPr>
          <w:rFonts w:cs="Arial"/>
          <w:b/>
        </w:rPr>
      </w:pPr>
      <w:r w:rsidRPr="00B93846">
        <w:rPr>
          <w:rFonts w:cs="Arial"/>
          <w:b/>
        </w:rPr>
        <w:t>A - Application, I - Interview, T - Test; C - Certificate</w:t>
      </w:r>
    </w:p>
    <w:p w14:paraId="65A0AF80" w14:textId="60E8FCDE" w:rsidR="00116812" w:rsidRDefault="00116812">
      <w:pPr>
        <w:spacing w:after="160" w:line="259" w:lineRule="auto"/>
      </w:pPr>
      <w:r>
        <w:br w:type="page"/>
      </w:r>
    </w:p>
    <w:p w14:paraId="58415AFE" w14:textId="77777777" w:rsidR="00EB56E1" w:rsidRDefault="00EB56E1" w:rsidP="00BA71AC">
      <w:pPr>
        <w:rPr>
          <w:b/>
          <w:bCs/>
        </w:rPr>
      </w:pPr>
      <w:r w:rsidRPr="00EB56E1">
        <w:rPr>
          <w:b/>
          <w:bCs/>
        </w:rPr>
        <w:lastRenderedPageBreak/>
        <w:t xml:space="preserve">Appendix 1 </w:t>
      </w:r>
    </w:p>
    <w:p w14:paraId="5C0F7523" w14:textId="118B3559" w:rsidR="007E78F9" w:rsidRPr="007E78F9" w:rsidRDefault="00EB56E1" w:rsidP="007E78F9">
      <w:pPr>
        <w:spacing w:after="0"/>
        <w:jc w:val="center"/>
        <w:rPr>
          <w:b/>
          <w:bCs/>
          <w:u w:val="single"/>
        </w:rPr>
      </w:pPr>
      <w:r w:rsidRPr="007E78F9">
        <w:rPr>
          <w:b/>
          <w:bCs/>
          <w:u w:val="single"/>
        </w:rPr>
        <w:t>FACULTY OF PUBLIC HEALTH COMPETENCIES</w:t>
      </w:r>
    </w:p>
    <w:p w14:paraId="3AE8A366" w14:textId="248A59A5" w:rsidR="00EB56E1" w:rsidRDefault="00EB56E1" w:rsidP="007E78F9">
      <w:pPr>
        <w:spacing w:after="0"/>
        <w:jc w:val="center"/>
      </w:pPr>
      <w:r w:rsidRPr="00EB56E1">
        <w:rPr>
          <w:b/>
          <w:bCs/>
        </w:rPr>
        <w:t>(2015 PH Specialty Training Curriculum)</w:t>
      </w:r>
    </w:p>
    <w:p w14:paraId="6698DE0B" w14:textId="77777777" w:rsidR="007E78F9" w:rsidRDefault="007E78F9" w:rsidP="007E78F9">
      <w:pPr>
        <w:spacing w:after="0"/>
      </w:pPr>
    </w:p>
    <w:p w14:paraId="3E59CAF2" w14:textId="77777777" w:rsidR="001351CE" w:rsidRPr="007E78F9" w:rsidRDefault="00EB56E1" w:rsidP="009A6FC0">
      <w:pPr>
        <w:spacing w:after="60" w:line="240" w:lineRule="auto"/>
      </w:pPr>
      <w:r w:rsidRPr="007E78F9">
        <w:rPr>
          <w:b/>
          <w:bCs/>
        </w:rPr>
        <w:t>Use of public health intelligence to survey and assess a population’s health and wellbeing</w:t>
      </w:r>
      <w:r w:rsidRPr="007E78F9">
        <w:t xml:space="preserve"> </w:t>
      </w:r>
    </w:p>
    <w:p w14:paraId="4CF24753" w14:textId="7EAFEE66" w:rsidR="00EB56E1" w:rsidRDefault="00EB56E1" w:rsidP="00BA71AC">
      <w:r>
        <w:t xml:space="preserve">To be able to synthesise data into information about the surveillance or assessment of a population’s health and wellbeing from multiple sources that can be communicated clearly and inform action planning to improve population health outcomes. </w:t>
      </w:r>
    </w:p>
    <w:p w14:paraId="4CCD6531" w14:textId="77777777" w:rsidR="001351CE" w:rsidRPr="007E78F9" w:rsidRDefault="00EB56E1" w:rsidP="009A6FC0">
      <w:pPr>
        <w:spacing w:after="60" w:line="240" w:lineRule="auto"/>
      </w:pPr>
      <w:r w:rsidRPr="007E78F9">
        <w:rPr>
          <w:b/>
          <w:bCs/>
        </w:rPr>
        <w:t>Assessing the evidence of effectiveness of interventions, programmes and services intended to improve the health or wellbeing of individuals or populations</w:t>
      </w:r>
      <w:r w:rsidRPr="007E78F9">
        <w:t xml:space="preserve"> </w:t>
      </w:r>
    </w:p>
    <w:p w14:paraId="7402DB48" w14:textId="07406773" w:rsidR="00EB56E1" w:rsidRDefault="00EB56E1" w:rsidP="00BA71AC">
      <w:r>
        <w:t xml:space="preserve">To be able to use a range of resources to generate and communicate appropriately evidenced and informed recommendations for improving population health across operational and strategic health and care settings. </w:t>
      </w:r>
    </w:p>
    <w:p w14:paraId="4B975262" w14:textId="77777777" w:rsidR="001351CE" w:rsidRPr="007E78F9" w:rsidRDefault="00EB56E1" w:rsidP="00D461FD">
      <w:pPr>
        <w:spacing w:after="60" w:line="240" w:lineRule="auto"/>
        <w:rPr>
          <w:b/>
          <w:bCs/>
        </w:rPr>
      </w:pPr>
      <w:r w:rsidRPr="007E78F9">
        <w:rPr>
          <w:b/>
          <w:bCs/>
        </w:rPr>
        <w:t xml:space="preserve">Policy and strategy development and implementation </w:t>
      </w:r>
    </w:p>
    <w:p w14:paraId="1001631C" w14:textId="275A3B07" w:rsidR="00EB56E1" w:rsidRDefault="00EB56E1" w:rsidP="00BA71AC">
      <w:r w:rsidRPr="00805001">
        <w:t>To</w:t>
      </w:r>
      <w:r>
        <w:t xml:space="preserve"> be able to influence and contribute to the development of policy as well as lead the development and implementation of a strategy. </w:t>
      </w:r>
    </w:p>
    <w:p w14:paraId="0872635A" w14:textId="77777777" w:rsidR="001351CE" w:rsidRPr="007E78F9" w:rsidRDefault="00EB56E1" w:rsidP="00D461FD">
      <w:pPr>
        <w:spacing w:after="60" w:line="240" w:lineRule="auto"/>
      </w:pPr>
      <w:r w:rsidRPr="007E78F9">
        <w:rPr>
          <w:b/>
          <w:bCs/>
        </w:rPr>
        <w:t>Strategic leadership and collaborative working for health</w:t>
      </w:r>
      <w:r w:rsidRPr="007E78F9">
        <w:t xml:space="preserve"> </w:t>
      </w:r>
    </w:p>
    <w:p w14:paraId="652FCC97" w14:textId="3A69D08C" w:rsidR="00EB56E1" w:rsidRDefault="00EB56E1" w:rsidP="00BA71AC">
      <w:r>
        <w:t xml:space="preserve">To use a range of effective strategic leadership, organisational and management skills, in a variety of complex public health situations and contexts, dealing effectively with uncertainty and the unexpected to achieve public health goals. </w:t>
      </w:r>
    </w:p>
    <w:p w14:paraId="45AE4092" w14:textId="77777777" w:rsidR="001351CE" w:rsidRPr="007E78F9" w:rsidRDefault="00EB56E1" w:rsidP="00D461FD">
      <w:pPr>
        <w:spacing w:after="60" w:line="240" w:lineRule="auto"/>
        <w:rPr>
          <w:b/>
          <w:bCs/>
        </w:rPr>
      </w:pPr>
      <w:r w:rsidRPr="007E78F9">
        <w:rPr>
          <w:b/>
          <w:bCs/>
        </w:rPr>
        <w:t>Health Improvement, Determinants of Health and Health Communications</w:t>
      </w:r>
    </w:p>
    <w:p w14:paraId="2C04D3EE" w14:textId="48F0012C" w:rsidR="00EB56E1" w:rsidRDefault="00EB56E1" w:rsidP="00BA71AC">
      <w:r>
        <w:t xml:space="preserve">To influence and act on the broad determinants and behaviours influencing health at a system, </w:t>
      </w:r>
      <w:proofErr w:type="gramStart"/>
      <w:r>
        <w:t>community</w:t>
      </w:r>
      <w:proofErr w:type="gramEnd"/>
      <w:r>
        <w:t xml:space="preserve"> and individual level. </w:t>
      </w:r>
    </w:p>
    <w:p w14:paraId="5A2F8B0E" w14:textId="77777777" w:rsidR="001351CE" w:rsidRPr="007E78F9" w:rsidRDefault="00EB56E1" w:rsidP="00D461FD">
      <w:pPr>
        <w:spacing w:after="60" w:line="240" w:lineRule="auto"/>
      </w:pPr>
      <w:r w:rsidRPr="007E78F9">
        <w:rPr>
          <w:b/>
          <w:bCs/>
        </w:rPr>
        <w:t>Health Protection</w:t>
      </w:r>
      <w:r w:rsidRPr="007E78F9">
        <w:t xml:space="preserve"> </w:t>
      </w:r>
    </w:p>
    <w:p w14:paraId="3BEC7A21" w14:textId="442BAA42" w:rsidR="00EB56E1" w:rsidRDefault="00EB56E1" w:rsidP="00BA71AC">
      <w:r>
        <w:t xml:space="preserve">To identify, assess and communicate risks associated with hazards relevant to health protection, and to lead and co-ordinate the appropriate public health response. </w:t>
      </w:r>
    </w:p>
    <w:p w14:paraId="66E3972E" w14:textId="77777777" w:rsidR="001351CE" w:rsidRPr="007E78F9" w:rsidRDefault="00EB56E1" w:rsidP="00D461FD">
      <w:pPr>
        <w:spacing w:after="60" w:line="240" w:lineRule="auto"/>
      </w:pPr>
      <w:r w:rsidRPr="007E78F9">
        <w:rPr>
          <w:b/>
          <w:bCs/>
        </w:rPr>
        <w:t>Health and Care Public Health</w:t>
      </w:r>
      <w:r w:rsidRPr="007E78F9">
        <w:t xml:space="preserve"> </w:t>
      </w:r>
    </w:p>
    <w:p w14:paraId="3AF97CEA" w14:textId="2ED2C530" w:rsidR="00EB56E1" w:rsidRDefault="00EB56E1" w:rsidP="00BA71AC">
      <w:r>
        <w:t xml:space="preserve">To be able to improve the efficiency, effectiveness, safety, reliability, responsiveness and equity of health and care services through applying insights from multiple sources including formal research, health surveillance, needs analysis, service monitoring and evaluation. </w:t>
      </w:r>
    </w:p>
    <w:p w14:paraId="05A3E389" w14:textId="77777777" w:rsidR="001351CE" w:rsidRPr="007E78F9" w:rsidRDefault="00EB56E1" w:rsidP="00D461FD">
      <w:pPr>
        <w:spacing w:after="60" w:line="240" w:lineRule="auto"/>
      </w:pPr>
      <w:r w:rsidRPr="007E78F9">
        <w:rPr>
          <w:b/>
          <w:bCs/>
        </w:rPr>
        <w:t>Academic public health</w:t>
      </w:r>
      <w:r w:rsidRPr="007E78F9">
        <w:t xml:space="preserve"> </w:t>
      </w:r>
    </w:p>
    <w:p w14:paraId="1C46A2EB" w14:textId="1AAD4E5C" w:rsidR="00EB56E1" w:rsidRDefault="00EB56E1" w:rsidP="00BA71AC">
      <w:r>
        <w:t xml:space="preserve">To add an academic perspective to all public health work undertaken. </w:t>
      </w:r>
      <w:proofErr w:type="gramStart"/>
      <w:r>
        <w:t>Specifically</w:t>
      </w:r>
      <w:proofErr w:type="gramEnd"/>
      <w:r>
        <w:t xml:space="preserve">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 </w:t>
      </w:r>
    </w:p>
    <w:p w14:paraId="5463FB52" w14:textId="77777777" w:rsidR="001351CE" w:rsidRPr="007E78F9" w:rsidRDefault="00EB56E1" w:rsidP="00D461FD">
      <w:pPr>
        <w:spacing w:after="60" w:line="240" w:lineRule="auto"/>
      </w:pPr>
      <w:r w:rsidRPr="007E78F9">
        <w:rPr>
          <w:b/>
          <w:bCs/>
        </w:rPr>
        <w:t xml:space="preserve">Professional, </w:t>
      </w:r>
      <w:proofErr w:type="gramStart"/>
      <w:r w:rsidRPr="007E78F9">
        <w:rPr>
          <w:b/>
          <w:bCs/>
        </w:rPr>
        <w:t>personal</w:t>
      </w:r>
      <w:proofErr w:type="gramEnd"/>
      <w:r w:rsidRPr="007E78F9">
        <w:rPr>
          <w:b/>
          <w:bCs/>
        </w:rPr>
        <w:t xml:space="preserve"> and ethical development</w:t>
      </w:r>
      <w:r w:rsidRPr="007E78F9">
        <w:t xml:space="preserve"> </w:t>
      </w:r>
    </w:p>
    <w:p w14:paraId="518E316A" w14:textId="0AEA2A43" w:rsidR="00EB56E1" w:rsidRDefault="00EB56E1" w:rsidP="00BA71AC">
      <w:r>
        <w:t xml:space="preserve">To be able to shape, pursue actively and evaluate your own personal and professional development, using insight into your own behaviours and attitudes and their impact to modify behaviour and to </w:t>
      </w:r>
      <w:r>
        <w:lastRenderedPageBreak/>
        <w:t xml:space="preserve">practise within the framework of the GMC's Good Medical Practice (as used for appraisal and revalidation for consultants in public health) and the UKPHR’s Code of Conduct. </w:t>
      </w:r>
    </w:p>
    <w:p w14:paraId="70F89146" w14:textId="77777777" w:rsidR="001351CE" w:rsidRPr="007E78F9" w:rsidRDefault="00EB56E1" w:rsidP="001351CE">
      <w:pPr>
        <w:spacing w:after="60"/>
      </w:pPr>
      <w:r w:rsidRPr="007E78F9">
        <w:rPr>
          <w:b/>
          <w:bCs/>
        </w:rPr>
        <w:t>Integration and application of competencies for consultant practice</w:t>
      </w:r>
      <w:r w:rsidRPr="007E78F9">
        <w:t xml:space="preserve"> </w:t>
      </w:r>
    </w:p>
    <w:p w14:paraId="4B1E632D" w14:textId="0A6C1F47" w:rsidR="00EB56E1" w:rsidRDefault="00EB56E1" w:rsidP="00BA71AC">
      <w:r>
        <w:t xml:space="preserve">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 </w:t>
      </w:r>
    </w:p>
    <w:sectPr w:rsidR="00EB56E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72CF" w14:textId="77777777" w:rsidR="00AD3A1F" w:rsidRDefault="00AD3A1F" w:rsidP="00EB56E1">
      <w:pPr>
        <w:spacing w:after="0" w:line="240" w:lineRule="auto"/>
      </w:pPr>
      <w:r>
        <w:separator/>
      </w:r>
    </w:p>
  </w:endnote>
  <w:endnote w:type="continuationSeparator" w:id="0">
    <w:p w14:paraId="4E821877" w14:textId="77777777" w:rsidR="00AD3A1F" w:rsidRDefault="00AD3A1F" w:rsidP="00EB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D1C4" w14:textId="77777777" w:rsidR="001F22CE" w:rsidRDefault="001F2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E569" w14:textId="77777777" w:rsidR="001F22CE" w:rsidRDefault="001F2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0921" w14:textId="77777777" w:rsidR="001F22CE" w:rsidRDefault="001F2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2B77" w14:textId="77777777" w:rsidR="00AD3A1F" w:rsidRDefault="00AD3A1F" w:rsidP="00EB56E1">
      <w:pPr>
        <w:spacing w:after="0" w:line="240" w:lineRule="auto"/>
      </w:pPr>
      <w:r>
        <w:separator/>
      </w:r>
    </w:p>
  </w:footnote>
  <w:footnote w:type="continuationSeparator" w:id="0">
    <w:p w14:paraId="06C83F01" w14:textId="77777777" w:rsidR="00AD3A1F" w:rsidRDefault="00AD3A1F" w:rsidP="00EB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8BD2" w14:textId="77777777" w:rsidR="001F22CE" w:rsidRDefault="001F2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FE97" w14:textId="46864359" w:rsidR="00EB56E1" w:rsidRDefault="00EB56E1">
    <w:pPr>
      <w:pStyle w:val="Header"/>
    </w:pPr>
    <w:r>
      <w:rPr>
        <w:noProof/>
      </w:rPr>
      <mc:AlternateContent>
        <mc:Choice Requires="wps">
          <w:drawing>
            <wp:anchor distT="0" distB="0" distL="114300" distR="114300" simplePos="0" relativeHeight="251658752" behindDoc="0" locked="0" layoutInCell="0" allowOverlap="1" wp14:anchorId="27D29855" wp14:editId="61559BF7">
              <wp:simplePos x="0" y="0"/>
              <wp:positionH relativeFrom="page">
                <wp:posOffset>0</wp:posOffset>
              </wp:positionH>
              <wp:positionV relativeFrom="page">
                <wp:posOffset>190500</wp:posOffset>
              </wp:positionV>
              <wp:extent cx="7560310" cy="273050"/>
              <wp:effectExtent l="0" t="0" r="0" b="12700"/>
              <wp:wrapNone/>
              <wp:docPr id="1" name="MSIPCM01f6412798c36ed995f04aa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F8051E" w14:textId="375E27A3" w:rsidR="00EB56E1" w:rsidRPr="00EB56E1" w:rsidRDefault="00EB56E1" w:rsidP="00EB56E1">
                          <w:pPr>
                            <w:spacing w:after="0"/>
                            <w:rPr>
                              <w:rFonts w:ascii="Calibri" w:hAnsi="Calibri" w:cs="Calibri"/>
                              <w:color w:val="000000"/>
                              <w:sz w:val="20"/>
                            </w:rPr>
                          </w:pPr>
                          <w:r w:rsidRPr="00EB56E1">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7D29855" id="_x0000_t202" coordsize="21600,21600" o:spt="202" path="m,l,21600r21600,l21600,xe">
              <v:stroke joinstyle="miter"/>
              <v:path gradientshapeok="t" o:connecttype="rect"/>
            </v:shapetype>
            <v:shape id="MSIPCM01f6412798c36ed995f04aa4" o:spid="_x0000_s1027"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xEhTaa8CAABHBQAADgAAAAAA&#10;AAAAAAAAAAAuAgAAZHJzL2Uyb0RvYy54bWxQSwECLQAUAAYACAAAACEAaQHeI9wAAAAHAQAADwAA&#10;AAAAAAAAAAAAAAAJBQAAZHJzL2Rvd25yZXYueG1sUEsFBgAAAAAEAAQA8wAAABIGAAAAAA==&#10;" o:allowincell="f" filled="f" stroked="f" strokeweight=".5pt">
              <v:textbox inset="20pt,0,,0">
                <w:txbxContent>
                  <w:p w14:paraId="60F8051E" w14:textId="375E27A3" w:rsidR="00EB56E1" w:rsidRPr="00EB56E1" w:rsidRDefault="00EB56E1" w:rsidP="00EB56E1">
                    <w:pPr>
                      <w:spacing w:after="0"/>
                      <w:rPr>
                        <w:rFonts w:ascii="Calibri" w:hAnsi="Calibri" w:cs="Calibri"/>
                        <w:color w:val="000000"/>
                        <w:sz w:val="20"/>
                      </w:rPr>
                    </w:pPr>
                    <w:r w:rsidRPr="00EB56E1">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2E58" w14:textId="77777777" w:rsidR="001F22CE" w:rsidRDefault="001F2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882"/>
    <w:multiLevelType w:val="hybridMultilevel"/>
    <w:tmpl w:val="D7F8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1609E"/>
    <w:multiLevelType w:val="hybridMultilevel"/>
    <w:tmpl w:val="9D16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60C2A"/>
    <w:multiLevelType w:val="hybridMultilevel"/>
    <w:tmpl w:val="F2704520"/>
    <w:lvl w:ilvl="0" w:tplc="DE8C665A">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83630"/>
    <w:multiLevelType w:val="hybridMultilevel"/>
    <w:tmpl w:val="32EAC8F4"/>
    <w:lvl w:ilvl="0" w:tplc="DE8C665A">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6A4343"/>
    <w:multiLevelType w:val="hybridMultilevel"/>
    <w:tmpl w:val="DDEE8BC4"/>
    <w:lvl w:ilvl="0" w:tplc="F154CCC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8441A"/>
    <w:multiLevelType w:val="hybridMultilevel"/>
    <w:tmpl w:val="B4B2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AC"/>
    <w:rsid w:val="00004152"/>
    <w:rsid w:val="00004C4B"/>
    <w:rsid w:val="00030628"/>
    <w:rsid w:val="00042921"/>
    <w:rsid w:val="000527C2"/>
    <w:rsid w:val="00066037"/>
    <w:rsid w:val="00073DA4"/>
    <w:rsid w:val="0007748B"/>
    <w:rsid w:val="000A6EF1"/>
    <w:rsid w:val="000B5644"/>
    <w:rsid w:val="000C7BD6"/>
    <w:rsid w:val="00106488"/>
    <w:rsid w:val="0011049E"/>
    <w:rsid w:val="00116812"/>
    <w:rsid w:val="001351CE"/>
    <w:rsid w:val="0013566F"/>
    <w:rsid w:val="00142677"/>
    <w:rsid w:val="00146F4A"/>
    <w:rsid w:val="0014792B"/>
    <w:rsid w:val="00192D66"/>
    <w:rsid w:val="00194FA4"/>
    <w:rsid w:val="001A6028"/>
    <w:rsid w:val="001A7EE2"/>
    <w:rsid w:val="001D6DC0"/>
    <w:rsid w:val="001F22CE"/>
    <w:rsid w:val="00237072"/>
    <w:rsid w:val="00242CC4"/>
    <w:rsid w:val="00243234"/>
    <w:rsid w:val="00245C6F"/>
    <w:rsid w:val="002521EA"/>
    <w:rsid w:val="002852AC"/>
    <w:rsid w:val="002A259C"/>
    <w:rsid w:val="002A6B1D"/>
    <w:rsid w:val="002A6C78"/>
    <w:rsid w:val="002B3782"/>
    <w:rsid w:val="002C2A33"/>
    <w:rsid w:val="002E1C61"/>
    <w:rsid w:val="002E6019"/>
    <w:rsid w:val="002F619A"/>
    <w:rsid w:val="00327390"/>
    <w:rsid w:val="003326C7"/>
    <w:rsid w:val="00335C4A"/>
    <w:rsid w:val="0033711A"/>
    <w:rsid w:val="00347CF2"/>
    <w:rsid w:val="00356D44"/>
    <w:rsid w:val="003625CA"/>
    <w:rsid w:val="00381442"/>
    <w:rsid w:val="003E4DA2"/>
    <w:rsid w:val="00403435"/>
    <w:rsid w:val="00415CC1"/>
    <w:rsid w:val="004244FE"/>
    <w:rsid w:val="004873CB"/>
    <w:rsid w:val="004A0EC7"/>
    <w:rsid w:val="004A41C4"/>
    <w:rsid w:val="004A6D45"/>
    <w:rsid w:val="004D19DE"/>
    <w:rsid w:val="004E2272"/>
    <w:rsid w:val="004F208A"/>
    <w:rsid w:val="00500BC6"/>
    <w:rsid w:val="00502C40"/>
    <w:rsid w:val="00514458"/>
    <w:rsid w:val="00522798"/>
    <w:rsid w:val="00530E10"/>
    <w:rsid w:val="00543591"/>
    <w:rsid w:val="0057757D"/>
    <w:rsid w:val="00587427"/>
    <w:rsid w:val="005A1F8F"/>
    <w:rsid w:val="005A5229"/>
    <w:rsid w:val="005A7CEB"/>
    <w:rsid w:val="005B6651"/>
    <w:rsid w:val="005C30C9"/>
    <w:rsid w:val="005D0573"/>
    <w:rsid w:val="005F037F"/>
    <w:rsid w:val="005F13AC"/>
    <w:rsid w:val="00612832"/>
    <w:rsid w:val="00613F0B"/>
    <w:rsid w:val="00637801"/>
    <w:rsid w:val="0065156C"/>
    <w:rsid w:val="0068067C"/>
    <w:rsid w:val="006934D1"/>
    <w:rsid w:val="00695967"/>
    <w:rsid w:val="006A7734"/>
    <w:rsid w:val="006B24A8"/>
    <w:rsid w:val="006B6156"/>
    <w:rsid w:val="006E4BD0"/>
    <w:rsid w:val="006F0C09"/>
    <w:rsid w:val="006F1A79"/>
    <w:rsid w:val="007014AC"/>
    <w:rsid w:val="007133EE"/>
    <w:rsid w:val="00760932"/>
    <w:rsid w:val="007634BF"/>
    <w:rsid w:val="00763F9D"/>
    <w:rsid w:val="0077085B"/>
    <w:rsid w:val="0077660E"/>
    <w:rsid w:val="00785429"/>
    <w:rsid w:val="0079217D"/>
    <w:rsid w:val="007A78B5"/>
    <w:rsid w:val="007C2125"/>
    <w:rsid w:val="007C267C"/>
    <w:rsid w:val="007D4579"/>
    <w:rsid w:val="007E78F9"/>
    <w:rsid w:val="007F1E2A"/>
    <w:rsid w:val="00803B7B"/>
    <w:rsid w:val="00805001"/>
    <w:rsid w:val="00805E31"/>
    <w:rsid w:val="0084091B"/>
    <w:rsid w:val="0087615B"/>
    <w:rsid w:val="008944B6"/>
    <w:rsid w:val="0089662D"/>
    <w:rsid w:val="008E0924"/>
    <w:rsid w:val="008F0EB9"/>
    <w:rsid w:val="008F1B75"/>
    <w:rsid w:val="00900F72"/>
    <w:rsid w:val="00905BFC"/>
    <w:rsid w:val="00922C06"/>
    <w:rsid w:val="009412A9"/>
    <w:rsid w:val="00944494"/>
    <w:rsid w:val="009456D4"/>
    <w:rsid w:val="00955B9F"/>
    <w:rsid w:val="0096283E"/>
    <w:rsid w:val="009651C9"/>
    <w:rsid w:val="00975CA7"/>
    <w:rsid w:val="00976C9F"/>
    <w:rsid w:val="009779EC"/>
    <w:rsid w:val="009868A0"/>
    <w:rsid w:val="00993A95"/>
    <w:rsid w:val="00993C33"/>
    <w:rsid w:val="009946D6"/>
    <w:rsid w:val="009A6FC0"/>
    <w:rsid w:val="009D297E"/>
    <w:rsid w:val="009D2F24"/>
    <w:rsid w:val="009E6B29"/>
    <w:rsid w:val="009E79EA"/>
    <w:rsid w:val="009F7575"/>
    <w:rsid w:val="00A02E17"/>
    <w:rsid w:val="00A13FDB"/>
    <w:rsid w:val="00A15772"/>
    <w:rsid w:val="00A201D6"/>
    <w:rsid w:val="00A30D5B"/>
    <w:rsid w:val="00A32F72"/>
    <w:rsid w:val="00A9494A"/>
    <w:rsid w:val="00AA1430"/>
    <w:rsid w:val="00AA2325"/>
    <w:rsid w:val="00AA6C47"/>
    <w:rsid w:val="00AC602D"/>
    <w:rsid w:val="00AD3A1F"/>
    <w:rsid w:val="00AD3C52"/>
    <w:rsid w:val="00AD6646"/>
    <w:rsid w:val="00B01636"/>
    <w:rsid w:val="00B0342D"/>
    <w:rsid w:val="00B14511"/>
    <w:rsid w:val="00B37EA1"/>
    <w:rsid w:val="00B679A5"/>
    <w:rsid w:val="00B710E8"/>
    <w:rsid w:val="00B74FC8"/>
    <w:rsid w:val="00BA09F3"/>
    <w:rsid w:val="00BA5232"/>
    <w:rsid w:val="00BA71AC"/>
    <w:rsid w:val="00BB7D25"/>
    <w:rsid w:val="00BC0485"/>
    <w:rsid w:val="00BC4558"/>
    <w:rsid w:val="00BF5C71"/>
    <w:rsid w:val="00C47913"/>
    <w:rsid w:val="00C513FD"/>
    <w:rsid w:val="00C60065"/>
    <w:rsid w:val="00C639FE"/>
    <w:rsid w:val="00C64DA1"/>
    <w:rsid w:val="00C67D1C"/>
    <w:rsid w:val="00C76A61"/>
    <w:rsid w:val="00CA02D3"/>
    <w:rsid w:val="00CB088B"/>
    <w:rsid w:val="00CF2FA4"/>
    <w:rsid w:val="00CF43BE"/>
    <w:rsid w:val="00D1346A"/>
    <w:rsid w:val="00D14B8A"/>
    <w:rsid w:val="00D2329F"/>
    <w:rsid w:val="00D2463E"/>
    <w:rsid w:val="00D27DBA"/>
    <w:rsid w:val="00D43BFE"/>
    <w:rsid w:val="00D461FD"/>
    <w:rsid w:val="00D50F0F"/>
    <w:rsid w:val="00DB5E72"/>
    <w:rsid w:val="00DD23B3"/>
    <w:rsid w:val="00DE233D"/>
    <w:rsid w:val="00DE308A"/>
    <w:rsid w:val="00DF3DDB"/>
    <w:rsid w:val="00DF3F78"/>
    <w:rsid w:val="00E20C6E"/>
    <w:rsid w:val="00E31909"/>
    <w:rsid w:val="00E41F47"/>
    <w:rsid w:val="00E46497"/>
    <w:rsid w:val="00E47330"/>
    <w:rsid w:val="00E503D2"/>
    <w:rsid w:val="00E80519"/>
    <w:rsid w:val="00EA6FBE"/>
    <w:rsid w:val="00EB56E1"/>
    <w:rsid w:val="00EC365F"/>
    <w:rsid w:val="00EE5987"/>
    <w:rsid w:val="00EF068F"/>
    <w:rsid w:val="00F07ECF"/>
    <w:rsid w:val="00F20FEA"/>
    <w:rsid w:val="00F31DA4"/>
    <w:rsid w:val="00F4039D"/>
    <w:rsid w:val="00F56A80"/>
    <w:rsid w:val="00F63E25"/>
    <w:rsid w:val="00F642FB"/>
    <w:rsid w:val="00F65C12"/>
    <w:rsid w:val="00F6721C"/>
    <w:rsid w:val="00F73176"/>
    <w:rsid w:val="00F767BC"/>
    <w:rsid w:val="00F906DA"/>
    <w:rsid w:val="00F95773"/>
    <w:rsid w:val="00FA1938"/>
    <w:rsid w:val="00FA1AF1"/>
    <w:rsid w:val="00FA760E"/>
    <w:rsid w:val="00FB186D"/>
    <w:rsid w:val="00FB3EDF"/>
    <w:rsid w:val="00FB4295"/>
    <w:rsid w:val="00FB6DDA"/>
    <w:rsid w:val="00FE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95588D"/>
  <w15:chartTrackingRefBased/>
  <w15:docId w15:val="{47B99B6D-2902-4DA3-8F22-37826B9F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1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E1"/>
  </w:style>
  <w:style w:type="paragraph" w:styleId="Footer">
    <w:name w:val="footer"/>
    <w:basedOn w:val="Normal"/>
    <w:link w:val="FooterChar"/>
    <w:uiPriority w:val="99"/>
    <w:unhideWhenUsed/>
    <w:rsid w:val="00EB5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E1"/>
  </w:style>
  <w:style w:type="paragraph" w:styleId="ListParagraph">
    <w:name w:val="List Paragraph"/>
    <w:basedOn w:val="Normal"/>
    <w:uiPriority w:val="34"/>
    <w:qFormat/>
    <w:rsid w:val="00116812"/>
    <w:pPr>
      <w:ind w:left="720"/>
      <w:contextualSpacing/>
    </w:pPr>
  </w:style>
  <w:style w:type="paragraph" w:customStyle="1" w:styleId="Default">
    <w:name w:val="Default"/>
    <w:rsid w:val="0011681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DF3F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1730">
      <w:bodyDiv w:val="1"/>
      <w:marLeft w:val="0"/>
      <w:marRight w:val="0"/>
      <w:marTop w:val="0"/>
      <w:marBottom w:val="0"/>
      <w:divBdr>
        <w:top w:val="none" w:sz="0" w:space="0" w:color="auto"/>
        <w:left w:val="none" w:sz="0" w:space="0" w:color="auto"/>
        <w:bottom w:val="none" w:sz="0" w:space="0" w:color="auto"/>
        <w:right w:val="none" w:sz="0" w:space="0" w:color="auto"/>
      </w:divBdr>
    </w:div>
    <w:div w:id="220213809">
      <w:bodyDiv w:val="1"/>
      <w:marLeft w:val="0"/>
      <w:marRight w:val="0"/>
      <w:marTop w:val="0"/>
      <w:marBottom w:val="0"/>
      <w:divBdr>
        <w:top w:val="none" w:sz="0" w:space="0" w:color="auto"/>
        <w:left w:val="none" w:sz="0" w:space="0" w:color="auto"/>
        <w:bottom w:val="none" w:sz="0" w:space="0" w:color="auto"/>
        <w:right w:val="none" w:sz="0" w:space="0" w:color="auto"/>
      </w:divBdr>
    </w:div>
    <w:div w:id="16295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F5B76F-7EA8-47FD-AD1A-6B0308E1D6DB}"/>
</file>

<file path=customXml/itemProps2.xml><?xml version="1.0" encoding="utf-8"?>
<ds:datastoreItem xmlns:ds="http://schemas.openxmlformats.org/officeDocument/2006/customXml" ds:itemID="{DC8AB739-68E2-4C94-9F64-7A57B5741DF2}">
  <ds:schemaRefs>
    <ds:schemaRef ds:uri="http://schemas.microsoft.com/sharepoint/v3/contenttype/forms"/>
  </ds:schemaRefs>
</ds:datastoreItem>
</file>

<file path=customXml/itemProps3.xml><?xml version="1.0" encoding="utf-8"?>
<ds:datastoreItem xmlns:ds="http://schemas.openxmlformats.org/officeDocument/2006/customXml" ds:itemID="{1F6862A8-E80D-4C38-8DF0-E47A3A6EBE4D}">
  <ds:schemaRefs>
    <ds:schemaRef ds:uri="http://schemas.microsoft.com/office/2006/metadata/properties"/>
    <ds:schemaRef ds:uri="http://schemas.microsoft.com/office/infopath/2007/PartnerControls"/>
    <ds:schemaRef ds:uri="http://schemas.microsoft.com/sharepoint/v3"/>
    <ds:schemaRef ds:uri="066c53d5-f4f4-4188-871a-e39f228143aa"/>
    <ds:schemaRef ds:uri="362d6d73-9460-4723-953e-360af1e4678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Samantha</dc:creator>
  <cp:keywords/>
  <dc:description/>
  <cp:lastModifiedBy>Mason, Samantha</cp:lastModifiedBy>
  <cp:revision>10</cp:revision>
  <dcterms:created xsi:type="dcterms:W3CDTF">2022-03-23T09:47:00Z</dcterms:created>
  <dcterms:modified xsi:type="dcterms:W3CDTF">2022-05-11T15:48:00Z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2021-12-16T16:14:08Z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6100cb1f-bbb2-4838-b8d2-4a2aa8d0cc2f</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y fmtid="{D5CDD505-2E9C-101B-9397-08002B2CF9AE}" pid="10" name="MediaServiceImageTags">
    <vt:lpwstr/>
  </property>
</Properties>
</file>