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6E0AF4" w:rsidRPr="005B3EBF" w14:paraId="25312BF0" w14:textId="77777777" w:rsidTr="00A359AC">
        <w:trPr>
          <w:trHeight w:val="828"/>
        </w:trPr>
        <w:tc>
          <w:tcPr>
            <w:tcW w:w="4261" w:type="dxa"/>
            <w:shd w:val="clear" w:color="auto" w:fill="D9D9D9"/>
          </w:tcPr>
          <w:p w14:paraId="5F7C20B3"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Job Title: </w:t>
            </w:r>
          </w:p>
          <w:p w14:paraId="37FF4CDE" w14:textId="77777777" w:rsidR="006E0AF4" w:rsidRPr="005B3EBF" w:rsidRDefault="006E0AF4" w:rsidP="00A359AC">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5834B252" w14:textId="77777777" w:rsidR="006E0AF4" w:rsidRDefault="006E0AF4" w:rsidP="00A359A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78A9CD2D" w14:textId="77777777" w:rsidR="006E0AF4" w:rsidRPr="005B3EBF" w:rsidRDefault="006E0AF4" w:rsidP="00A359AC">
            <w:pPr>
              <w:autoSpaceDE w:val="0"/>
              <w:autoSpaceDN w:val="0"/>
              <w:adjustRightInd w:val="0"/>
              <w:rPr>
                <w:rFonts w:ascii="Calibri" w:hAnsi="Calibri" w:cs="Calibri"/>
              </w:rPr>
            </w:pPr>
            <w:r>
              <w:rPr>
                <w:rFonts w:ascii="Calibri" w:hAnsi="Calibri" w:cs="Calibri"/>
                <w:bCs/>
              </w:rPr>
              <w:t>PO4</w:t>
            </w:r>
          </w:p>
        </w:tc>
      </w:tr>
      <w:tr w:rsidR="006E0AF4" w:rsidRPr="005B3EBF" w14:paraId="29A36C0B" w14:textId="77777777" w:rsidTr="00A359AC">
        <w:trPr>
          <w:trHeight w:val="828"/>
        </w:trPr>
        <w:tc>
          <w:tcPr>
            <w:tcW w:w="4261" w:type="dxa"/>
            <w:shd w:val="clear" w:color="auto" w:fill="D9D9D9"/>
          </w:tcPr>
          <w:p w14:paraId="6A6F61F0"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 xml:space="preserve">Section: </w:t>
            </w:r>
          </w:p>
          <w:p w14:paraId="4E0D2687" w14:textId="168A963C" w:rsidR="006E0AF4" w:rsidRPr="005B3EBF" w:rsidRDefault="00634A7B" w:rsidP="00A359AC">
            <w:pPr>
              <w:autoSpaceDE w:val="0"/>
              <w:autoSpaceDN w:val="0"/>
              <w:adjustRightInd w:val="0"/>
              <w:rPr>
                <w:rFonts w:ascii="Calibri" w:hAnsi="Calibri" w:cs="Calibri"/>
                <w:bCs/>
              </w:rPr>
            </w:pPr>
            <w:r w:rsidRPr="00E21C22">
              <w:rPr>
                <w:rFonts w:asciiTheme="minorHAnsi" w:hAnsiTheme="minorHAnsi" w:cstheme="minorHAnsi"/>
              </w:rPr>
              <w:t>Richmond Response &amp; Rehabilitation Team (RRRT),</w:t>
            </w:r>
          </w:p>
        </w:tc>
        <w:tc>
          <w:tcPr>
            <w:tcW w:w="4494" w:type="dxa"/>
            <w:shd w:val="clear" w:color="auto" w:fill="D9D9D9"/>
          </w:tcPr>
          <w:p w14:paraId="698BE9EC" w14:textId="77777777" w:rsidR="006E0AF4" w:rsidRPr="005B3EBF" w:rsidRDefault="006E0AF4" w:rsidP="00A359A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799FD9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6E0AF4" w:rsidRPr="005B3EBF" w14:paraId="0C95BCEE" w14:textId="77777777" w:rsidTr="00A359AC">
        <w:trPr>
          <w:trHeight w:val="828"/>
        </w:trPr>
        <w:tc>
          <w:tcPr>
            <w:tcW w:w="4261" w:type="dxa"/>
            <w:shd w:val="clear" w:color="auto" w:fill="D9D9D9"/>
          </w:tcPr>
          <w:p w14:paraId="7D74AD12"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0208BE5" w14:textId="77777777" w:rsidR="006E0AF4" w:rsidRDefault="006E0AF4" w:rsidP="00A359AC">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7BA38982" w14:textId="77777777" w:rsidR="006E0AF4" w:rsidRPr="0026064E" w:rsidRDefault="006E0AF4" w:rsidP="00A359AC">
            <w:pPr>
              <w:autoSpaceDE w:val="0"/>
              <w:autoSpaceDN w:val="0"/>
              <w:adjustRightInd w:val="0"/>
              <w:rPr>
                <w:rFonts w:ascii="Calibri" w:hAnsi="Calibri" w:cs="Calibri"/>
                <w:bCs/>
              </w:rPr>
            </w:pPr>
          </w:p>
        </w:tc>
        <w:tc>
          <w:tcPr>
            <w:tcW w:w="4494" w:type="dxa"/>
            <w:shd w:val="clear" w:color="auto" w:fill="D9D9D9"/>
          </w:tcPr>
          <w:p w14:paraId="4BDF3EB5" w14:textId="77777777" w:rsidR="006E0AF4" w:rsidRPr="005B3EBF" w:rsidRDefault="006E0AF4" w:rsidP="00A359A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E757EFE" w14:textId="77777777" w:rsidR="006E0AF4" w:rsidRPr="0026064E" w:rsidRDefault="006E0AF4" w:rsidP="00A359AC">
            <w:pPr>
              <w:autoSpaceDE w:val="0"/>
              <w:autoSpaceDN w:val="0"/>
              <w:adjustRightInd w:val="0"/>
              <w:rPr>
                <w:rFonts w:ascii="Calibri" w:hAnsi="Calibri" w:cs="Calibri"/>
                <w:bCs/>
              </w:rPr>
            </w:pPr>
            <w:r>
              <w:rPr>
                <w:rFonts w:ascii="Calibri" w:hAnsi="Calibri" w:cs="Calibri"/>
                <w:bCs/>
              </w:rPr>
              <w:t>Social Workers, Social Care Assessors</w:t>
            </w:r>
          </w:p>
        </w:tc>
      </w:tr>
      <w:tr w:rsidR="006E0AF4" w:rsidRPr="005B3EBF" w14:paraId="5E49FCDA" w14:textId="77777777" w:rsidTr="00A359A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7DA417" w14:textId="77777777" w:rsidR="006E0AF4" w:rsidRDefault="006E0AF4" w:rsidP="00A359AC">
            <w:pPr>
              <w:autoSpaceDE w:val="0"/>
              <w:autoSpaceDN w:val="0"/>
              <w:adjustRightInd w:val="0"/>
              <w:rPr>
                <w:rFonts w:ascii="Calibri" w:hAnsi="Calibri" w:cs="Calibri"/>
                <w:b/>
                <w:bCs/>
              </w:rPr>
            </w:pPr>
            <w:r w:rsidRPr="005B3EBF">
              <w:rPr>
                <w:rFonts w:ascii="Calibri" w:hAnsi="Calibri" w:cs="Calibri"/>
                <w:b/>
                <w:bCs/>
              </w:rPr>
              <w:t>Post Number/s:</w:t>
            </w:r>
          </w:p>
          <w:p w14:paraId="5A0CF7F2" w14:textId="77777777" w:rsidR="006E0AF4" w:rsidRPr="0026064E" w:rsidRDefault="006E0AF4" w:rsidP="00A359A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E90E6D7" w14:textId="77777777" w:rsidR="006E0AF4" w:rsidRDefault="006E0AF4" w:rsidP="00A359A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57F49D79" w14:textId="53068DC8" w:rsidR="006E0AF4" w:rsidRPr="0026064E" w:rsidRDefault="00634A7B" w:rsidP="00A359AC">
            <w:pPr>
              <w:autoSpaceDE w:val="0"/>
              <w:autoSpaceDN w:val="0"/>
              <w:adjustRightInd w:val="0"/>
              <w:rPr>
                <w:rFonts w:ascii="Calibri" w:hAnsi="Calibri" w:cs="Calibri"/>
                <w:bCs/>
              </w:rPr>
            </w:pPr>
            <w:r>
              <w:rPr>
                <w:rFonts w:ascii="Calibri" w:hAnsi="Calibri" w:cs="Calibri"/>
                <w:bCs/>
              </w:rPr>
              <w:t>July2026</w:t>
            </w:r>
          </w:p>
        </w:tc>
      </w:tr>
    </w:tbl>
    <w:p w14:paraId="19E62979" w14:textId="77777777" w:rsidR="00343CED" w:rsidRPr="005B3EBF" w:rsidRDefault="00343CED" w:rsidP="00343CED">
      <w:pPr>
        <w:rPr>
          <w:rFonts w:ascii="Calibri" w:hAnsi="Calibri" w:cs="Arial"/>
          <w:i/>
        </w:rPr>
      </w:pPr>
    </w:p>
    <w:p w14:paraId="2CD0636C" w14:textId="77777777" w:rsid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467915">
        <w:rPr>
          <w:rFonts w:ascii="Calibri" w:hAnsi="Calibri" w:cs="Arial"/>
          <w:b/>
          <w:bCs/>
        </w:rPr>
        <w:t>Working for the Richmond &amp; Wandsworth Better Service Partnership</w:t>
      </w:r>
    </w:p>
    <w:p w14:paraId="0902EF70"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5182F3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27CF3FC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Our joint workforce creates efficiency and resilience by bringing more creativity to the way we work, more objectivity and adaptability too, helping us deliver better services for all our residents.</w:t>
      </w:r>
    </w:p>
    <w:p w14:paraId="54CECCB9" w14:textId="77777777" w:rsidR="00467915" w:rsidRPr="00467915" w:rsidRDefault="00467915" w:rsidP="00467915">
      <w:pPr>
        <w:pBdr>
          <w:top w:val="single" w:sz="4" w:space="1" w:color="auto"/>
          <w:left w:val="single" w:sz="4" w:space="4" w:color="auto"/>
          <w:bottom w:val="single" w:sz="4" w:space="0" w:color="auto"/>
          <w:right w:val="single" w:sz="4" w:space="3" w:color="auto"/>
        </w:pBdr>
        <w:jc w:val="center"/>
        <w:rPr>
          <w:rFonts w:ascii="Calibri" w:hAnsi="Calibri" w:cs="Arial"/>
        </w:rPr>
      </w:pPr>
      <w:r w:rsidRPr="0046791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DF5A8D" w:rsidR="00343CED" w:rsidRPr="005B3EBF" w:rsidRDefault="00343CED" w:rsidP="00343CED">
      <w:pPr>
        <w:rPr>
          <w:rFonts w:ascii="Calibri" w:hAnsi="Calibri" w:cs="Arial"/>
        </w:rPr>
      </w:pPr>
      <w:r w:rsidRPr="005B3EBF">
        <w:rPr>
          <w:rFonts w:ascii="Calibri" w:hAnsi="Calibri" w:cs="Arial"/>
          <w:b/>
          <w:bCs/>
        </w:rPr>
        <w:t xml:space="preserve">Job Purpose </w:t>
      </w:r>
    </w:p>
    <w:p w14:paraId="7E538B4C" w14:textId="01DC7F44" w:rsidR="00E21C22" w:rsidRPr="00E21C22" w:rsidRDefault="00E21C22" w:rsidP="00E21C22">
      <w:pPr>
        <w:pStyle w:val="NormalWeb"/>
        <w:rPr>
          <w:rFonts w:asciiTheme="minorHAnsi" w:hAnsiTheme="minorHAnsi" w:cstheme="minorHAnsi"/>
        </w:rPr>
      </w:pPr>
      <w:r w:rsidRPr="00E21C22">
        <w:rPr>
          <w:rFonts w:asciiTheme="minorHAnsi" w:hAnsiTheme="minorHAnsi" w:cstheme="minorHAnsi"/>
        </w:rPr>
        <w:t>The Senior Social Worker is a leadership role within the Richmond Response &amp; Rehabilitation Team (RRRT), responsible for supporting the Assistant Service Manager and Service Manager in leading and line</w:t>
      </w:r>
      <w:r w:rsidRPr="00E21C22">
        <w:rPr>
          <w:rFonts w:asciiTheme="minorHAnsi" w:hAnsiTheme="minorHAnsi" w:cstheme="minorHAnsi"/>
        </w:rPr>
        <w:noBreakHyphen/>
        <w:t>managing the hospital</w:t>
      </w:r>
      <w:r>
        <w:rPr>
          <w:rFonts w:asciiTheme="minorHAnsi" w:hAnsiTheme="minorHAnsi" w:cstheme="minorHAnsi"/>
        </w:rPr>
        <w:t xml:space="preserve"> discharge </w:t>
      </w:r>
      <w:r w:rsidRPr="00E21C22">
        <w:rPr>
          <w:rFonts w:asciiTheme="minorHAnsi" w:hAnsiTheme="minorHAnsi" w:cstheme="minorHAnsi"/>
        </w:rPr>
        <w:t xml:space="preserve"> social care </w:t>
      </w:r>
      <w:r w:rsidRPr="00E21C22">
        <w:rPr>
          <w:rFonts w:asciiTheme="minorHAnsi" w:hAnsiTheme="minorHAnsi" w:cstheme="minorHAnsi"/>
        </w:rPr>
        <w:lastRenderedPageBreak/>
        <w:t>team. The post holder ensures the delivery of a strengths</w:t>
      </w:r>
      <w:r w:rsidRPr="00E21C22">
        <w:rPr>
          <w:rFonts w:asciiTheme="minorHAnsi" w:hAnsiTheme="minorHAnsi" w:cstheme="minorHAnsi"/>
        </w:rPr>
        <w:noBreakHyphen/>
        <w:t>based, person</w:t>
      </w:r>
      <w:r w:rsidRPr="00E21C22">
        <w:rPr>
          <w:rFonts w:asciiTheme="minorHAnsi" w:hAnsiTheme="minorHAnsi" w:cstheme="minorHAnsi"/>
        </w:rPr>
        <w:noBreakHyphen/>
        <w:t>centred service for adults with social care needs and their carers, with a particular focus on safe, timely, and legally compliant hospital discharge planning. The role requires close collaboration with the Integrated Discharge Team, therapy colleagues, NHS partners, and community services to facilitate effective multidisciplinary discharge pathways.</w:t>
      </w:r>
    </w:p>
    <w:p w14:paraId="3BA9CE96" w14:textId="77777777" w:rsidR="00343CED" w:rsidRPr="005B3EBF" w:rsidRDefault="00343CED" w:rsidP="00343CED">
      <w:pPr>
        <w:rPr>
          <w:rFonts w:ascii="Calibri" w:hAnsi="Calibri" w:cs="Arial"/>
        </w:rPr>
      </w:pPr>
    </w:p>
    <w:p w14:paraId="1CB311D9" w14:textId="2D532CB8"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2112376C"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Form part of the RRRT management team and provide visible, motivational leadership across hospital sites and remote settings, building strong working relationships with practitioners and integrated partners.</w:t>
      </w:r>
    </w:p>
    <w:p w14:paraId="52E4F83C"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Work closely with the Integrated Discharge Team, therapy services, ward staff and community partners to ensure safe, timely and person</w:t>
      </w:r>
      <w:r w:rsidRPr="00977BE8">
        <w:rPr>
          <w:rFonts w:asciiTheme="minorHAnsi" w:hAnsiTheme="minorHAnsi" w:cstheme="minorHAnsi"/>
        </w:rPr>
        <w:noBreakHyphen/>
        <w:t>centred discharge planning.</w:t>
      </w:r>
    </w:p>
    <w:p w14:paraId="3513F302"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Provide regular reflective supervision that empowers practitioners, builds professional confidence and supports continuous improvement in hospital discharge practice.</w:t>
      </w:r>
    </w:p>
    <w:p w14:paraId="595E6C11"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Oversee Duty and Hub functions, ensuring timely triage of hospital referrals and clear discharge decision</w:t>
      </w:r>
      <w:r w:rsidRPr="00977BE8">
        <w:rPr>
          <w:rFonts w:asciiTheme="minorHAnsi" w:hAnsiTheme="minorHAnsi" w:cstheme="minorHAnsi"/>
        </w:rPr>
        <w:noBreakHyphen/>
        <w:t>making. Attend daily hospital meetings and MDTs to support coordinated discharge planning.</w:t>
      </w:r>
    </w:p>
    <w:p w14:paraId="1664A7F0"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Promote and model corporate values, embedding equality, diversity and inclusion in all aspects of practice, and challenge discriminatory behaviour.</w:t>
      </w:r>
    </w:p>
    <w:p w14:paraId="2E8B5AE9"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Model high</w:t>
      </w:r>
      <w:r w:rsidRPr="00977BE8">
        <w:rPr>
          <w:rFonts w:asciiTheme="minorHAnsi" w:hAnsiTheme="minorHAnsi" w:cstheme="minorHAnsi"/>
        </w:rPr>
        <w:noBreakHyphen/>
        <w:t>quality Social Work practice within the hospital discharge process, ensuring compliance with the Care Act, MCA, and discharge pathways including D2A, RRRT rehabilitation pathways and community support options.</w:t>
      </w:r>
    </w:p>
    <w:p w14:paraId="332B6361"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Undertake regular case file audits, using outcomes to support learning, identify training needs and strengthen professional development across the service.</w:t>
      </w:r>
    </w:p>
    <w:p w14:paraId="229045B3"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Hold a small caseload of complex cases when required.</w:t>
      </w:r>
    </w:p>
    <w:p w14:paraId="13CEA61E"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Support budget management through timely throughput of work, quality assurance of assessments, support plans and reviews, and authorising care packages in line with delegated decision</w:t>
      </w:r>
      <w:r w:rsidRPr="00977BE8">
        <w:rPr>
          <w:rFonts w:asciiTheme="minorHAnsi" w:hAnsiTheme="minorHAnsi" w:cstheme="minorHAnsi"/>
        </w:rPr>
        <w:noBreakHyphen/>
        <w:t>making guidance.</w:t>
      </w:r>
    </w:p>
    <w:p w14:paraId="79C78850"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Monitor and adjust packages of care and support as appropriate, ensuring funding arrangements and reviews meet statutory requirements, Council policy and best value.</w:t>
      </w:r>
    </w:p>
    <w:p w14:paraId="76C566D6"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Maintain up</w:t>
      </w:r>
      <w:r w:rsidRPr="00977BE8">
        <w:rPr>
          <w:rFonts w:asciiTheme="minorHAnsi" w:hAnsiTheme="minorHAnsi" w:cstheme="minorHAnsi"/>
        </w:rPr>
        <w:noBreakHyphen/>
        <w:t>to</w:t>
      </w:r>
      <w:r w:rsidRPr="00977BE8">
        <w:rPr>
          <w:rFonts w:asciiTheme="minorHAnsi" w:hAnsiTheme="minorHAnsi" w:cstheme="minorHAnsi"/>
        </w:rPr>
        <w:noBreakHyphen/>
        <w:t>date knowledge of statutory responsibilities under the Care Act 2014, Mental Capacity Act, Mental Health Act and Human Rights Act, ensuring the team operates within the legal framework.</w:t>
      </w:r>
    </w:p>
    <w:p w14:paraId="0E0710AA"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Ensure effective and timely action to assess, record, manage and reduce risk to people with care and support needs, carers and partner organisations in line with Council and partner policies.</w:t>
      </w:r>
    </w:p>
    <w:p w14:paraId="4016F30B"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Encourage a positive attitude to risk and a no</w:t>
      </w:r>
      <w:r w:rsidRPr="00977BE8">
        <w:rPr>
          <w:rFonts w:asciiTheme="minorHAnsi" w:hAnsiTheme="minorHAnsi" w:cstheme="minorHAnsi"/>
        </w:rPr>
        <w:noBreakHyphen/>
        <w:t>blame culture, supporting practitioners to take ownership of their practice and enabling innovation and creativity.</w:t>
      </w:r>
    </w:p>
    <w:p w14:paraId="4B76CA0F"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lastRenderedPageBreak/>
        <w:t>Share responsibility for service performance as part of the management team and support performance improvement where required.</w:t>
      </w:r>
    </w:p>
    <w:p w14:paraId="27326BDB"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Communicate departmental vision and priorities clearly, ensuring staff understand how their work contributes to wider objectives.</w:t>
      </w:r>
    </w:p>
    <w:p w14:paraId="54607232"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Represent Adult Social Care positively and confidently in meetings with NHS partners, providers and the voluntary sector.</w:t>
      </w:r>
    </w:p>
    <w:p w14:paraId="1309C680"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Support the management and investigation of complaints.</w:t>
      </w:r>
    </w:p>
    <w:p w14:paraId="7910EA46" w14:textId="77777777" w:rsidR="00977BE8" w:rsidRPr="00977BE8" w:rsidRDefault="00977BE8" w:rsidP="00977BE8">
      <w:pPr>
        <w:pStyle w:val="NormalWeb"/>
        <w:numPr>
          <w:ilvl w:val="0"/>
          <w:numId w:val="42"/>
        </w:numPr>
        <w:rPr>
          <w:rFonts w:asciiTheme="minorHAnsi" w:hAnsiTheme="minorHAnsi" w:cstheme="minorHAnsi"/>
        </w:rPr>
      </w:pPr>
      <w:r w:rsidRPr="00977BE8">
        <w:rPr>
          <w:rFonts w:asciiTheme="minorHAnsi" w:hAnsiTheme="minorHAnsi" w:cstheme="minorHAnsi"/>
        </w:rPr>
        <w:t>Champion new models of practice, building buy</w:t>
      </w:r>
      <w:r w:rsidRPr="00977BE8">
        <w:rPr>
          <w:rFonts w:asciiTheme="minorHAnsi" w:hAnsiTheme="minorHAnsi" w:cstheme="minorHAnsi"/>
        </w:rPr>
        <w:noBreakHyphen/>
        <w:t>in and commitment across the service.</w:t>
      </w:r>
    </w:p>
    <w:p w14:paraId="1C57553C" w14:textId="2AD58420" w:rsidR="0015656E" w:rsidRPr="00DE6A1A" w:rsidRDefault="00977BE8" w:rsidP="000601A7">
      <w:pPr>
        <w:pStyle w:val="NormalWeb"/>
        <w:numPr>
          <w:ilvl w:val="0"/>
          <w:numId w:val="42"/>
        </w:numPr>
        <w:rPr>
          <w:rFonts w:ascii="Calibri" w:hAnsi="Calibri" w:cs="Arial"/>
          <w:b/>
          <w:bCs/>
        </w:rPr>
      </w:pPr>
      <w:r w:rsidRPr="00DE6A1A">
        <w:rPr>
          <w:rFonts w:asciiTheme="minorHAnsi" w:hAnsiTheme="minorHAnsi" w:cstheme="minorHAnsi"/>
        </w:rPr>
        <w:t>Support practitioners to build confidence and skills in working effectively with people, acting as a coach and mentor</w:t>
      </w:r>
      <w:r>
        <w:t>.</w:t>
      </w:r>
    </w:p>
    <w:p w14:paraId="52BBF4A1" w14:textId="3EDB97B6" w:rsidR="00BB4DD8" w:rsidRPr="00D974AD" w:rsidRDefault="00BB4DD8" w:rsidP="00D974AD">
      <w:pPr>
        <w:rPr>
          <w:rFonts w:ascii="Calibri" w:hAnsi="Calibri" w:cs="Arial"/>
          <w:b/>
          <w:bCs/>
        </w:rPr>
      </w:pPr>
      <w:r w:rsidRPr="005B3EBF">
        <w:rPr>
          <w:rFonts w:ascii="Calibri" w:hAnsi="Calibri" w:cs="Arial"/>
          <w:b/>
          <w:bCs/>
        </w:rPr>
        <w:t>Generic Duties and Responsibilities</w:t>
      </w:r>
    </w:p>
    <w:p w14:paraId="1C1F719A" w14:textId="2885BCB5"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Contribute to the continuous improvement of Richmond &amp; Wandsworth Better Service Partnerships, supporting the development of effective, strengths</w:t>
      </w:r>
      <w:r w:rsidRPr="00521F2A">
        <w:rPr>
          <w:rFonts w:asciiTheme="minorHAnsi" w:hAnsiTheme="minorHAnsi" w:cstheme="minorHAnsi"/>
        </w:rPr>
        <w:noBreakHyphen/>
        <w:t>based RRRT hospital discharge practice.</w:t>
      </w:r>
    </w:p>
    <w:p w14:paraId="7D55DF35" w14:textId="1990BAE0"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Comply with all relevant Codes of Practice, including the Code of Conduct, data protection requirements, complaints handling procedures, and health and safety policies.</w:t>
      </w:r>
    </w:p>
    <w:p w14:paraId="6260F248" w14:textId="1CAD887A"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Adhere to mandated security controls and local risk assessments to maintain confidentiality, integrity, availability, and legal compliance of information and systems used within RRRT and hospital discharge pathways.</w:t>
      </w:r>
    </w:p>
    <w:p w14:paraId="3C3BA214" w14:textId="48597D0C"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Promote equality, diversity, and inclusion by maintaining awareness of EDI protocols and fostering a safe, supportive, and respectful environment where all individuals’ identity, culture, and dignity are valued.</w:t>
      </w:r>
    </w:p>
    <w:p w14:paraId="56C59EA6" w14:textId="2C1F0F33"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Provide operational oversight of the RRRT Duty function, ensuring timely triage, allocation, and response to hospital referrals, safeguarding alerts, and urgent discharge</w:t>
      </w:r>
      <w:r w:rsidRPr="00521F2A">
        <w:rPr>
          <w:rFonts w:asciiTheme="minorHAnsi" w:hAnsiTheme="minorHAnsi" w:cstheme="minorHAnsi"/>
        </w:rPr>
        <w:noBreakHyphen/>
        <w:t>related tasks.</w:t>
      </w:r>
    </w:p>
    <w:p w14:paraId="766427C9" w14:textId="3E96E933"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Lead the daily Hub workflow, monitoring throughput, prioritising cases, and ensuring practitioners progress assessments, support plans, and discharge actions within expected timescales.</w:t>
      </w:r>
    </w:p>
    <w:p w14:paraId="7B572FEB" w14:textId="379453FC"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Act as a key point of contact for hospital wards, the Integrated Discharge Team therapy colleagues, and NHS partners, ensuring coordinated and timely discharge planning.</w:t>
      </w:r>
    </w:p>
    <w:p w14:paraId="5AD64BC5" w14:textId="61B15F98"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Provide strengths</w:t>
      </w:r>
      <w:r w:rsidRPr="00521F2A">
        <w:rPr>
          <w:rFonts w:asciiTheme="minorHAnsi" w:hAnsiTheme="minorHAnsi" w:cstheme="minorHAnsi"/>
        </w:rPr>
        <w:noBreakHyphen/>
        <w:t>based, reflective supervision to Social Workers, Social Care Assessors, and students, ensuring safe, legally compliant, and person</w:t>
      </w:r>
      <w:r w:rsidRPr="00521F2A">
        <w:rPr>
          <w:rFonts w:asciiTheme="minorHAnsi" w:hAnsiTheme="minorHAnsi" w:cstheme="minorHAnsi"/>
        </w:rPr>
        <w:noBreakHyphen/>
        <w:t>centred practice.</w:t>
      </w:r>
    </w:p>
    <w:p w14:paraId="6A25B914" w14:textId="52B2E954"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Offer clear guidance on complex cases, safeguarding concerns, Mental Capacity Act decisions, and risk management, supporting practitioners to make confident and defensible decisions.</w:t>
      </w:r>
    </w:p>
    <w:p w14:paraId="443A1F6A" w14:textId="34AE2F48" w:rsidR="00521F2A" w:rsidRPr="00521F2A" w:rsidRDefault="00521F2A" w:rsidP="00521F2A">
      <w:pPr>
        <w:pStyle w:val="NormalWeb"/>
        <w:numPr>
          <w:ilvl w:val="0"/>
          <w:numId w:val="38"/>
        </w:numPr>
        <w:rPr>
          <w:rFonts w:asciiTheme="minorHAnsi" w:hAnsiTheme="minorHAnsi" w:cstheme="minorHAnsi"/>
        </w:rPr>
      </w:pPr>
      <w:r w:rsidRPr="00521F2A">
        <w:rPr>
          <w:rFonts w:asciiTheme="minorHAnsi" w:hAnsiTheme="minorHAnsi" w:cstheme="minorHAnsi"/>
        </w:rPr>
        <w:t>Act as a coach and mentor, developing practitioners’ skills, critical thinking, and confidence in managing hospital discharge pressures and multidisciplinary working.</w:t>
      </w:r>
    </w:p>
    <w:p w14:paraId="61EDC052" w14:textId="77777777" w:rsidR="00521F2A" w:rsidRPr="00521F2A" w:rsidRDefault="00521F2A" w:rsidP="00A92633">
      <w:pPr>
        <w:pStyle w:val="NormalWeb"/>
        <w:numPr>
          <w:ilvl w:val="0"/>
          <w:numId w:val="38"/>
        </w:numPr>
        <w:rPr>
          <w:rFonts w:asciiTheme="minorHAnsi" w:hAnsiTheme="minorHAnsi" w:cstheme="minorHAnsi"/>
        </w:rPr>
      </w:pPr>
      <w:r w:rsidRPr="00521F2A">
        <w:rPr>
          <w:rFonts w:asciiTheme="minorHAnsi" w:hAnsiTheme="minorHAnsi" w:cstheme="minorHAnsi"/>
        </w:rPr>
        <w:lastRenderedPageBreak/>
        <w:t>Review and quality</w:t>
      </w:r>
      <w:r w:rsidRPr="00521F2A">
        <w:rPr>
          <w:rFonts w:asciiTheme="minorHAnsi" w:hAnsiTheme="minorHAnsi" w:cstheme="minorHAnsi"/>
        </w:rPr>
        <w:noBreakHyphen/>
        <w:t>assure assessments, support plans, MCA documentation, and discharge decisions, providing constructive feedback that promotes learning and continuous improvement.</w:t>
      </w:r>
    </w:p>
    <w:p w14:paraId="52821BD1" w14:textId="7E7ECF90" w:rsidR="00521F2A" w:rsidRPr="00521F2A" w:rsidRDefault="00521F2A" w:rsidP="00A92633">
      <w:pPr>
        <w:pStyle w:val="NormalWeb"/>
        <w:numPr>
          <w:ilvl w:val="0"/>
          <w:numId w:val="38"/>
        </w:numPr>
        <w:rPr>
          <w:rFonts w:asciiTheme="minorHAnsi" w:hAnsiTheme="minorHAnsi" w:cstheme="minorHAnsi"/>
        </w:rPr>
      </w:pPr>
      <w:r w:rsidRPr="00521F2A">
        <w:rPr>
          <w:rFonts w:asciiTheme="minorHAnsi" w:hAnsiTheme="minorHAnsi" w:cstheme="minorHAnsi"/>
        </w:rPr>
        <w:t>Support staff performance through clear expectations, developmental feedback, and identification of training needs, ensuring practitioners meet professional standards and service requirements.</w:t>
      </w:r>
    </w:p>
    <w:p w14:paraId="50ED3054" w14:textId="77777777" w:rsidR="006A1E18" w:rsidRPr="00521F2A" w:rsidRDefault="00D852F2" w:rsidP="006A1E18">
      <w:pPr>
        <w:pStyle w:val="NormalWeb"/>
        <w:rPr>
          <w:rFonts w:asciiTheme="minorHAnsi" w:hAnsiTheme="minorHAnsi" w:cstheme="minorHAnsi"/>
          <w:b/>
          <w:bCs/>
        </w:rPr>
      </w:pPr>
      <w:r w:rsidRPr="00521F2A">
        <w:rPr>
          <w:rFonts w:asciiTheme="minorHAnsi" w:hAnsiTheme="minorHAnsi" w:cstheme="minorHAnsi"/>
          <w:b/>
          <w:bCs/>
        </w:rPr>
        <w:t>Additional Infor</w:t>
      </w:r>
      <w:r w:rsidR="00BB4DD8" w:rsidRPr="00521F2A">
        <w:rPr>
          <w:rFonts w:asciiTheme="minorHAnsi" w:hAnsiTheme="minorHAnsi" w:cstheme="minorHAnsi"/>
          <w:b/>
          <w:bCs/>
        </w:rPr>
        <w:t>mation</w:t>
      </w:r>
      <w:r w:rsidR="006A1E18" w:rsidRPr="00521F2A">
        <w:rPr>
          <w:rFonts w:asciiTheme="minorHAnsi" w:hAnsiTheme="minorHAnsi" w:cstheme="minorHAnsi"/>
          <w:b/>
          <w:bCs/>
        </w:rPr>
        <w:t xml:space="preserve"> </w:t>
      </w:r>
    </w:p>
    <w:p w14:paraId="4695B089" w14:textId="77777777" w:rsidR="000D0666" w:rsidRPr="00C34E28" w:rsidRDefault="000D0666" w:rsidP="000D0666">
      <w:pPr>
        <w:numPr>
          <w:ilvl w:val="0"/>
          <w:numId w:val="33"/>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77A25068" w14:textId="77777777" w:rsidR="000D0666" w:rsidRPr="00C34E28" w:rsidRDefault="000D0666" w:rsidP="000D0666">
      <w:pPr>
        <w:pStyle w:val="ListParagraph"/>
        <w:contextualSpacing/>
        <w:jc w:val="both"/>
        <w:rPr>
          <w:rFonts w:asciiTheme="minorHAnsi" w:hAnsiTheme="minorHAnsi" w:cs="Arial"/>
        </w:rPr>
      </w:pPr>
    </w:p>
    <w:p w14:paraId="28F3A16A" w14:textId="77777777"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 Manager / Locality</w:t>
      </w:r>
      <w:r w:rsidRPr="00C34E28">
        <w:rPr>
          <w:rFonts w:asciiTheme="minorHAnsi" w:hAnsiTheme="minorHAnsi"/>
          <w:iCs/>
        </w:rPr>
        <w:t xml:space="preserve"> Manager assisting with day-to-day management of the team and its performance.</w:t>
      </w:r>
    </w:p>
    <w:p w14:paraId="25842E42" w14:textId="77777777" w:rsidR="000D0666" w:rsidRPr="00C34E28" w:rsidRDefault="000D0666" w:rsidP="000D0666">
      <w:pPr>
        <w:contextualSpacing/>
        <w:jc w:val="both"/>
        <w:rPr>
          <w:rFonts w:asciiTheme="minorHAnsi" w:hAnsiTheme="minorHAnsi" w:cs="Arial"/>
        </w:rPr>
      </w:pPr>
    </w:p>
    <w:p w14:paraId="5AEF7025" w14:textId="5C3A9198" w:rsidR="000D0666" w:rsidRPr="00C34E28" w:rsidRDefault="000D0666" w:rsidP="000D0666">
      <w:pPr>
        <w:numPr>
          <w:ilvl w:val="0"/>
          <w:numId w:val="33"/>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6990C188" w14:textId="77777777" w:rsidR="003847D3" w:rsidRDefault="003847D3" w:rsidP="00B53894">
      <w:pPr>
        <w:rPr>
          <w:rFonts w:ascii="Calibri" w:hAnsi="Calibri" w:cs="Arial"/>
          <w:b/>
        </w:rPr>
      </w:pPr>
    </w:p>
    <w:p w14:paraId="74F2ECF3" w14:textId="6C7B3E27" w:rsidR="00343CED" w:rsidRPr="005B3EBF" w:rsidRDefault="0026064E" w:rsidP="00DE6A1A">
      <w:pPr>
        <w:rPr>
          <w:rFonts w:ascii="Calibri" w:hAnsi="Calibri" w:cs="Arial"/>
          <w:b/>
          <w:bCs/>
          <w:color w:val="000000"/>
        </w:rPr>
      </w:pPr>
      <w:r>
        <w:rPr>
          <w:rFonts w:ascii="Calibri" w:hAnsi="Calibri" w:cs="Arial"/>
          <w:b/>
        </w:rPr>
        <w:t>T</w:t>
      </w:r>
      <w:r w:rsidR="00B53894" w:rsidRPr="005B3EBF">
        <w:rPr>
          <w:rFonts w:ascii="Calibri" w:hAnsi="Calibri" w:cs="Arial"/>
          <w:b/>
        </w:rPr>
        <w:t>eam structure</w:t>
      </w:r>
      <w:r w:rsidR="00021461">
        <w:rPr>
          <w:noProof/>
        </w:rPr>
        <w:drawing>
          <wp:inline distT="0" distB="0" distL="0" distR="0" wp14:anchorId="63C37348" wp14:editId="1A33F8E4">
            <wp:extent cx="5429250" cy="3238500"/>
            <wp:effectExtent l="0" t="57150" r="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6332A03" w14:textId="77777777" w:rsidR="009E4CF7" w:rsidRDefault="009E4CF7"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86"/>
      </w:tblGrid>
      <w:tr w:rsidR="009E4CF7" w:rsidRPr="00C34E28" w14:paraId="508CE05E" w14:textId="77777777" w:rsidTr="00A359AC">
        <w:trPr>
          <w:trHeight w:val="544"/>
        </w:trPr>
        <w:tc>
          <w:tcPr>
            <w:tcW w:w="4261" w:type="dxa"/>
            <w:shd w:val="clear" w:color="auto" w:fill="D9D9D9"/>
          </w:tcPr>
          <w:p w14:paraId="6192FEC6"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5F44D163"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6E21AC89"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1CE5015A"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18719DA8"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9BA0634"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rPr>
            </w:pPr>
          </w:p>
        </w:tc>
      </w:tr>
      <w:tr w:rsidR="009E4CF7" w:rsidRPr="00C34E28" w14:paraId="74B3289E" w14:textId="77777777" w:rsidTr="00A359AC">
        <w:trPr>
          <w:trHeight w:val="493"/>
        </w:trPr>
        <w:tc>
          <w:tcPr>
            <w:tcW w:w="4261" w:type="dxa"/>
            <w:shd w:val="clear" w:color="auto" w:fill="D9D9D9"/>
          </w:tcPr>
          <w:p w14:paraId="47884A11" w14:textId="77777777" w:rsidR="009E4CF7" w:rsidRDefault="009E4CF7" w:rsidP="00A359AC">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528E58CC" w14:textId="77777777" w:rsidR="009E4CF7" w:rsidRDefault="009E4CF7" w:rsidP="00A359AC">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Pr>
                <w:rFonts w:asciiTheme="minorHAnsi" w:hAnsiTheme="minorHAnsi" w:cs="Calibri"/>
                <w:bCs/>
              </w:rPr>
              <w:t xml:space="preserve"> Care</w:t>
            </w:r>
            <w:r w:rsidRPr="00687FDB">
              <w:rPr>
                <w:rFonts w:asciiTheme="minorHAnsi" w:hAnsiTheme="minorHAnsi" w:cs="Calibri"/>
                <w:bCs/>
              </w:rPr>
              <w:t xml:space="preserve"> Services</w:t>
            </w:r>
          </w:p>
          <w:p w14:paraId="39F17628" w14:textId="77777777" w:rsidR="009E4CF7" w:rsidRPr="00C34E28" w:rsidRDefault="009E4CF7" w:rsidP="00A359AC">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7F4EB385"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11F6FF85" w14:textId="77777777" w:rsidR="009E4CF7" w:rsidRDefault="009E4CF7" w:rsidP="00A359AC">
            <w:pPr>
              <w:autoSpaceDE w:val="0"/>
              <w:autoSpaceDN w:val="0"/>
              <w:adjustRightInd w:val="0"/>
              <w:spacing w:before="60" w:after="60"/>
              <w:contextualSpacing/>
              <w:jc w:val="both"/>
              <w:rPr>
                <w:rFonts w:asciiTheme="minorHAnsi" w:hAnsiTheme="minorHAnsi" w:cs="Calibri"/>
                <w:bCs/>
              </w:rPr>
            </w:pPr>
            <w:r w:rsidRPr="00687FDB">
              <w:rPr>
                <w:rFonts w:asciiTheme="minorHAnsi" w:hAnsiTheme="minorHAnsi" w:cs="Calibri"/>
                <w:bCs/>
              </w:rPr>
              <w:t>Adult Social Care and Public Health</w:t>
            </w:r>
          </w:p>
          <w:p w14:paraId="0949F11A" w14:textId="0D2814AC" w:rsidR="00827D19" w:rsidRPr="00C34E28" w:rsidRDefault="00827D19" w:rsidP="00A359AC">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Richmond  Response and Re</w:t>
            </w:r>
            <w:r w:rsidR="00025ED4">
              <w:rPr>
                <w:rFonts w:asciiTheme="minorHAnsi" w:hAnsiTheme="minorHAnsi" w:cs="Calibri"/>
                <w:b/>
                <w:bCs/>
              </w:rPr>
              <w:t xml:space="preserve">habilitation </w:t>
            </w:r>
            <w:r>
              <w:rPr>
                <w:rFonts w:asciiTheme="minorHAnsi" w:hAnsiTheme="minorHAnsi" w:cs="Calibri"/>
                <w:b/>
                <w:bCs/>
              </w:rPr>
              <w:t xml:space="preserve"> Team ( RRRT ) </w:t>
            </w:r>
          </w:p>
        </w:tc>
      </w:tr>
      <w:tr w:rsidR="009E4CF7" w:rsidRPr="00C34E28" w14:paraId="3FEA3097" w14:textId="77777777" w:rsidTr="00A359AC">
        <w:trPr>
          <w:trHeight w:val="543"/>
        </w:trPr>
        <w:tc>
          <w:tcPr>
            <w:tcW w:w="4261" w:type="dxa"/>
            <w:shd w:val="clear" w:color="auto" w:fill="D9D9D9"/>
          </w:tcPr>
          <w:p w14:paraId="182A1BC1"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22777363" w14:textId="7D3DA0A7" w:rsidR="009E4CF7" w:rsidRDefault="00827D19"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Assistant </w:t>
            </w:r>
            <w:r w:rsidR="009E4CF7">
              <w:rPr>
                <w:rFonts w:asciiTheme="minorHAnsi" w:hAnsiTheme="minorHAnsi" w:cs="Calibri"/>
                <w:bCs/>
              </w:rPr>
              <w:t xml:space="preserve">Service </w:t>
            </w:r>
            <w:r w:rsidR="009E4CF7" w:rsidRPr="000D5EBB">
              <w:rPr>
                <w:rFonts w:asciiTheme="minorHAnsi" w:hAnsiTheme="minorHAnsi" w:cs="Calibri"/>
                <w:bCs/>
              </w:rPr>
              <w:t>Manage</w:t>
            </w:r>
            <w:r w:rsidR="009E4CF7">
              <w:rPr>
                <w:rFonts w:asciiTheme="minorHAnsi" w:hAnsiTheme="minorHAnsi" w:cs="Calibri"/>
                <w:bCs/>
              </w:rPr>
              <w:t>r</w:t>
            </w:r>
          </w:p>
          <w:p w14:paraId="5B926040" w14:textId="77777777" w:rsidR="009E4CF7" w:rsidRPr="000D5EBB" w:rsidRDefault="009E4CF7" w:rsidP="00A359AC">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1983557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E716986"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9E4CF7" w:rsidRPr="00C34E28" w14:paraId="45173C2A" w14:textId="77777777" w:rsidTr="00A359AC">
        <w:trPr>
          <w:trHeight w:val="477"/>
        </w:trPr>
        <w:tc>
          <w:tcPr>
            <w:tcW w:w="4261" w:type="dxa"/>
            <w:shd w:val="clear" w:color="auto" w:fill="D9D9D9"/>
          </w:tcPr>
          <w:p w14:paraId="1656F4D0"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20FA8EE1" w14:textId="77777777" w:rsidR="009E4CF7" w:rsidRPr="00C34E28" w:rsidRDefault="009E4CF7" w:rsidP="00A359AC">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74813DF" w14:textId="77777777" w:rsidR="009E4CF7" w:rsidRDefault="009E4CF7" w:rsidP="00A359AC">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332F2C74" w14:textId="3474F268" w:rsidR="009E4CF7" w:rsidRDefault="00025ED4" w:rsidP="00A359AC">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July </w:t>
            </w:r>
            <w:r w:rsidR="009E4CF7">
              <w:rPr>
                <w:rFonts w:asciiTheme="minorHAnsi" w:hAnsiTheme="minorHAnsi" w:cs="Calibri"/>
                <w:bCs/>
              </w:rPr>
              <w:t xml:space="preserve"> 202</w:t>
            </w:r>
            <w:r>
              <w:rPr>
                <w:rFonts w:asciiTheme="minorHAnsi" w:hAnsiTheme="minorHAnsi" w:cs="Calibri"/>
                <w:bCs/>
              </w:rPr>
              <w:t>6</w:t>
            </w:r>
          </w:p>
          <w:p w14:paraId="33C91AD5" w14:textId="77777777" w:rsidR="009E4CF7" w:rsidRPr="00E61153" w:rsidRDefault="009E4CF7" w:rsidP="00A359AC">
            <w:pPr>
              <w:autoSpaceDE w:val="0"/>
              <w:autoSpaceDN w:val="0"/>
              <w:adjustRightInd w:val="0"/>
              <w:spacing w:before="60" w:after="60"/>
              <w:contextualSpacing/>
              <w:jc w:val="both"/>
              <w:rPr>
                <w:rFonts w:asciiTheme="minorHAnsi" w:hAnsiTheme="minorHAns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D0704EB" w14:textId="77777777" w:rsidR="00C85A8E" w:rsidRDefault="00C85A8E"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A27D67" w:rsidRPr="005B3EBF" w14:paraId="008766FD" w14:textId="77777777" w:rsidTr="00A359AC">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7F392934" w14:textId="77777777" w:rsidR="00A27D67" w:rsidRPr="005B3EBF" w:rsidRDefault="00A27D67" w:rsidP="00A359AC">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EEE9D83" w14:textId="77777777" w:rsidR="00A27D67" w:rsidRPr="005B3EBF" w:rsidRDefault="00A27D67" w:rsidP="00A359AC">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331D7A8A" w14:textId="77777777" w:rsidR="00A27D67" w:rsidRDefault="00A27D67" w:rsidP="00A359AC">
            <w:pPr>
              <w:jc w:val="center"/>
              <w:rPr>
                <w:rFonts w:ascii="Calibri" w:hAnsi="Calibri" w:cs="Arial"/>
                <w:b/>
                <w:bCs/>
              </w:rPr>
            </w:pPr>
            <w:r w:rsidRPr="005B3EBF">
              <w:rPr>
                <w:rFonts w:ascii="Calibri" w:hAnsi="Calibri" w:cs="Arial"/>
                <w:b/>
                <w:bCs/>
              </w:rPr>
              <w:t xml:space="preserve">Assessed by </w:t>
            </w:r>
          </w:p>
          <w:p w14:paraId="0CF2D2B5" w14:textId="77777777" w:rsidR="00A27D67" w:rsidRDefault="00A27D67" w:rsidP="00A359AC">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A8A23AC" w14:textId="77777777" w:rsidR="00A27D67" w:rsidRPr="00D35D30" w:rsidRDefault="00A27D67" w:rsidP="00A359AC">
            <w:pPr>
              <w:jc w:val="center"/>
              <w:rPr>
                <w:rFonts w:ascii="Calibri" w:hAnsi="Calibri" w:cs="Arial"/>
                <w:b/>
                <w:bCs/>
              </w:rPr>
            </w:pPr>
            <w:r w:rsidRPr="00D35D30">
              <w:rPr>
                <w:rFonts w:ascii="Calibri" w:hAnsi="Calibri" w:cs="Arial"/>
                <w:b/>
                <w:bCs/>
                <w:sz w:val="20"/>
                <w:szCs w:val="20"/>
              </w:rPr>
              <w:t>(see below for explanation)</w:t>
            </w:r>
          </w:p>
        </w:tc>
      </w:tr>
      <w:tr w:rsidR="00A27D67" w14:paraId="2FCA694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586A1CB" w14:textId="77777777" w:rsidR="00A27D67" w:rsidRDefault="00A27D67" w:rsidP="00A359AC">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F9D730" w14:textId="77777777" w:rsidR="00A27D67"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C14E11" w14:textId="77777777" w:rsidR="00A27D67"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DC9EF1" w14:textId="77777777" w:rsidR="00A27D67"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1137E10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6A2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27901"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8FECC"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83A40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F7047B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BFBC0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w:t>
            </w:r>
            <w:r w:rsidRPr="00766D85">
              <w:rPr>
                <w:rFonts w:asciiTheme="minorHAnsi" w:hAnsiTheme="minorHAnsi"/>
                <w:iCs/>
              </w:rPr>
              <w:lastRenderedPageBreak/>
              <w:t xml:space="preserve">and the ability to lead the team </w:t>
            </w:r>
            <w:r>
              <w:rPr>
                <w:rFonts w:asciiTheme="minorHAnsi" w:hAnsiTheme="minorHAnsi"/>
                <w:iCs/>
              </w:rPr>
              <w:t>to work with partners 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C47A3" w14:textId="77777777" w:rsidR="00A27D67" w:rsidRPr="00AD0E94" w:rsidRDefault="00A27D67" w:rsidP="00A359AC">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4E07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D38A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5FE1C6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7BEBDB"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14093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B1BEC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F166B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77944B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953FF0" w14:textId="77777777" w:rsidR="00A27D67" w:rsidRPr="00AD0E94" w:rsidRDefault="00A27D67" w:rsidP="00A359AC">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C2B8D3"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939F0"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708A5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1B992BA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4DF107" w14:textId="77777777" w:rsidR="00A27D67" w:rsidRPr="00AD0E94" w:rsidRDefault="00A27D67" w:rsidP="00A359AC">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247D80"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EF56F8"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E815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43808D9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2D22ED"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A1B5D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C9C77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F69360"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33BAFE5"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7B4E"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2CCF"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7BFA5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406A5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C5E553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D7B171"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BF204E"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472B8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D8FB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5E030ED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F8DA21"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D4FD3A"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0380BA"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6E0D5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21F98AD"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5DED9B" w14:textId="77777777" w:rsidR="00A27D67" w:rsidRPr="00AD0E94" w:rsidRDefault="00A27D67" w:rsidP="00A359AC">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12B6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BBF74"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0C8A39"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251ABB8C"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311B4F" w14:textId="77777777" w:rsidR="00A27D67" w:rsidRPr="00AD0E94" w:rsidRDefault="00A27D67" w:rsidP="00A359AC">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3F18649"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3B9572B"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51CC62"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5A2B3404"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99AB93" w14:textId="77777777" w:rsidR="00A27D67" w:rsidRPr="00AD0E94" w:rsidRDefault="00A27D67" w:rsidP="00A359AC">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person-centred service for adults with social care needs and their carers.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57E55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062A9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9E04C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 T</w:t>
            </w:r>
          </w:p>
        </w:tc>
      </w:tr>
      <w:tr w:rsidR="00A27D67" w:rsidRPr="005B3EBF" w14:paraId="0DE4B9B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776DD8" w14:textId="77777777" w:rsidR="00A27D67" w:rsidRPr="00AD0E94" w:rsidRDefault="00A27D67" w:rsidP="00A359AC">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DE2FD"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9F6DB"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FD53F"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D4A67DA"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B65810"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D0D7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A7C26"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D9A98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44C6727E"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7F0A09" w14:textId="77777777" w:rsidR="00A27D67" w:rsidRPr="00AD0E94" w:rsidRDefault="00A27D67" w:rsidP="00A359AC">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 xml:space="preserve">case recording and of management decisions, report-writing, investigating </w:t>
            </w:r>
            <w:r>
              <w:rPr>
                <w:rFonts w:asciiTheme="minorHAnsi" w:hAnsiTheme="minorHAnsi"/>
                <w:iCs/>
              </w:rPr>
              <w:lastRenderedPageBreak/>
              <w:t>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B0CE37" w14:textId="77777777" w:rsidR="00A27D67" w:rsidRPr="00AD0E94" w:rsidRDefault="00A27D67" w:rsidP="00A359AC">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E3F0BE"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77DEA"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069D5A1"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3289D" w14:textId="77777777" w:rsidR="00A27D67" w:rsidRPr="00AD0E94" w:rsidRDefault="00A27D67" w:rsidP="00A359AC">
            <w:pPr>
              <w:spacing w:line="70" w:lineRule="atLeast"/>
              <w:rPr>
                <w:rFonts w:ascii="Calibri" w:hAnsi="Calibri" w:cs="Arial"/>
                <w:b/>
                <w:bCs/>
              </w:rPr>
            </w:pPr>
            <w:r>
              <w:rPr>
                <w:rFonts w:asciiTheme="minorHAnsi" w:hAnsiTheme="minorHAnsi"/>
                <w:iCs/>
              </w:rPr>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D9C489"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5589C5"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9327C6"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630C7DC2"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35879D" w14:textId="77777777" w:rsidR="00A27D67" w:rsidRPr="00AD0E94" w:rsidRDefault="00A27D67" w:rsidP="00A359AC">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04AE8"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67AF3"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879FDB" w14:textId="77777777" w:rsidR="00A27D67" w:rsidRPr="00AD0E94" w:rsidRDefault="00A27D67" w:rsidP="00A359AC">
            <w:pPr>
              <w:spacing w:line="70" w:lineRule="atLeast"/>
              <w:jc w:val="center"/>
              <w:rPr>
                <w:rFonts w:ascii="Calibri" w:hAnsi="Calibri" w:cs="Arial"/>
                <w:b/>
                <w:bCs/>
              </w:rPr>
            </w:pPr>
            <w:r>
              <w:rPr>
                <w:rFonts w:ascii="Calibri" w:hAnsi="Calibri" w:cs="Arial"/>
                <w:b/>
                <w:bCs/>
              </w:rPr>
              <w:t>A, I</w:t>
            </w:r>
          </w:p>
        </w:tc>
      </w:tr>
      <w:tr w:rsidR="00A27D67" w:rsidRPr="005B3EBF" w14:paraId="76B858E7"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1415636" w14:textId="77777777" w:rsidR="00A27D67" w:rsidRPr="00AD0E94" w:rsidRDefault="00A27D67" w:rsidP="00A359AC">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95548B" w14:textId="77777777" w:rsidR="00A27D67" w:rsidRPr="00AD0E94" w:rsidRDefault="00A27D67" w:rsidP="00A359AC">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D94D4F" w14:textId="77777777" w:rsidR="00A27D67" w:rsidRPr="00AD0E94" w:rsidRDefault="00A27D67" w:rsidP="00A359AC">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77B06E" w14:textId="77777777" w:rsidR="00A27D67" w:rsidRPr="00AD0E94" w:rsidRDefault="00A27D67" w:rsidP="00A359AC">
            <w:pPr>
              <w:spacing w:line="70" w:lineRule="atLeast"/>
              <w:jc w:val="center"/>
              <w:rPr>
                <w:rFonts w:ascii="Calibri" w:hAnsi="Calibri" w:cs="Arial"/>
                <w:b/>
                <w:bCs/>
              </w:rPr>
            </w:pPr>
            <w:r>
              <w:rPr>
                <w:rFonts w:ascii="Calibri" w:hAnsi="Calibri" w:cs="Arial"/>
                <w:b/>
                <w:bCs/>
              </w:rPr>
              <w:t>Assessed</w:t>
            </w:r>
          </w:p>
        </w:tc>
      </w:tr>
      <w:tr w:rsidR="00A27D67" w:rsidRPr="005B3EBF" w14:paraId="38B61523" w14:textId="77777777" w:rsidTr="00A359AC">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79A2B" w14:textId="77777777" w:rsidR="00A27D67" w:rsidRPr="00AD0E94" w:rsidRDefault="00A27D67" w:rsidP="00A359AC">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222E07" w14:textId="77777777" w:rsidR="00A27D67" w:rsidRPr="00AD0E94" w:rsidRDefault="00A27D67" w:rsidP="00A359AC">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4C842F" w14:textId="77777777" w:rsidR="00A27D67" w:rsidRPr="00AD0E94" w:rsidRDefault="00A27D67" w:rsidP="00A359AC">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77B70C" w14:textId="77777777" w:rsidR="00A27D67" w:rsidRPr="00AD0E94" w:rsidRDefault="00A27D67" w:rsidP="00A359AC">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A22C" w14:textId="77777777" w:rsidR="00666997" w:rsidRDefault="00666997" w:rsidP="003E5354">
      <w:r>
        <w:separator/>
      </w:r>
    </w:p>
  </w:endnote>
  <w:endnote w:type="continuationSeparator" w:id="0">
    <w:p w14:paraId="31449670" w14:textId="77777777" w:rsidR="00666997" w:rsidRDefault="00666997" w:rsidP="003E5354">
      <w:r>
        <w:continuationSeparator/>
      </w:r>
    </w:p>
  </w:endnote>
  <w:endnote w:type="continuationNotice" w:id="1">
    <w:p w14:paraId="15F33371" w14:textId="77777777" w:rsidR="00666997" w:rsidRDefault="00666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6757" w14:textId="77777777" w:rsidR="00666997" w:rsidRDefault="00666997" w:rsidP="003E5354">
      <w:r>
        <w:separator/>
      </w:r>
    </w:p>
  </w:footnote>
  <w:footnote w:type="continuationSeparator" w:id="0">
    <w:p w14:paraId="75F11AC5" w14:textId="77777777" w:rsidR="00666997" w:rsidRDefault="00666997" w:rsidP="003E5354">
      <w:r>
        <w:continuationSeparator/>
      </w:r>
    </w:p>
  </w:footnote>
  <w:footnote w:type="continuationNotice" w:id="1">
    <w:p w14:paraId="4B2A631B" w14:textId="77777777" w:rsidR="00666997" w:rsidRDefault="00666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60FE8"/>
    <w:multiLevelType w:val="hybridMultilevel"/>
    <w:tmpl w:val="D55EF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C2CD8"/>
    <w:multiLevelType w:val="hybridMultilevel"/>
    <w:tmpl w:val="27C2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B65120"/>
    <w:multiLevelType w:val="hybridMultilevel"/>
    <w:tmpl w:val="0B9A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44BFA"/>
    <w:multiLevelType w:val="hybridMultilevel"/>
    <w:tmpl w:val="E6AA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C7DE7"/>
    <w:multiLevelType w:val="hybridMultilevel"/>
    <w:tmpl w:val="2AE4FBEE"/>
    <w:lvl w:ilvl="0" w:tplc="08090001">
      <w:start w:val="1"/>
      <w:numFmt w:val="bullet"/>
      <w:lvlText w:val=""/>
      <w:lvlJc w:val="left"/>
      <w:pPr>
        <w:ind w:left="720" w:hanging="360"/>
      </w:pPr>
      <w:rPr>
        <w:rFonts w:ascii="Symbol" w:hAnsi="Symbol" w:hint="default"/>
      </w:rPr>
    </w:lvl>
    <w:lvl w:ilvl="1" w:tplc="7FB2434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0F42C9"/>
    <w:multiLevelType w:val="hybridMultilevel"/>
    <w:tmpl w:val="D0D2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D00DB4"/>
    <w:multiLevelType w:val="hybridMultilevel"/>
    <w:tmpl w:val="D1901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B11E7"/>
    <w:multiLevelType w:val="hybridMultilevel"/>
    <w:tmpl w:val="D92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40" w15:restartNumberingAfterBreak="0">
    <w:nsid w:val="724B77CA"/>
    <w:multiLevelType w:val="hybridMultilevel"/>
    <w:tmpl w:val="27EE41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7"/>
  </w:num>
  <w:num w:numId="3" w16cid:durableId="818763830">
    <w:abstractNumId w:val="25"/>
  </w:num>
  <w:num w:numId="4" w16cid:durableId="1256743143">
    <w:abstractNumId w:val="20"/>
  </w:num>
  <w:num w:numId="5" w16cid:durableId="1863087608">
    <w:abstractNumId w:val="34"/>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30"/>
  </w:num>
  <w:num w:numId="11" w16cid:durableId="283852757">
    <w:abstractNumId w:val="11"/>
  </w:num>
  <w:num w:numId="12" w16cid:durableId="762258631">
    <w:abstractNumId w:val="9"/>
  </w:num>
  <w:num w:numId="13" w16cid:durableId="1876885722">
    <w:abstractNumId w:val="31"/>
  </w:num>
  <w:num w:numId="14" w16cid:durableId="284384524">
    <w:abstractNumId w:val="16"/>
  </w:num>
  <w:num w:numId="15" w16cid:durableId="859271286">
    <w:abstractNumId w:val="10"/>
  </w:num>
  <w:num w:numId="16" w16cid:durableId="1627855592">
    <w:abstractNumId w:val="13"/>
  </w:num>
  <w:num w:numId="17" w16cid:durableId="1954359177">
    <w:abstractNumId w:val="6"/>
  </w:num>
  <w:num w:numId="18" w16cid:durableId="1450512846">
    <w:abstractNumId w:val="41"/>
  </w:num>
  <w:num w:numId="19" w16cid:durableId="1896507463">
    <w:abstractNumId w:val="23"/>
  </w:num>
  <w:num w:numId="20" w16cid:durableId="204027581">
    <w:abstractNumId w:val="14"/>
  </w:num>
  <w:num w:numId="21" w16cid:durableId="2034107091">
    <w:abstractNumId w:val="33"/>
  </w:num>
  <w:num w:numId="22" w16cid:durableId="881795152">
    <w:abstractNumId w:val="28"/>
  </w:num>
  <w:num w:numId="23" w16cid:durableId="730076990">
    <w:abstractNumId w:val="32"/>
  </w:num>
  <w:num w:numId="24" w16cid:durableId="1495874154">
    <w:abstractNumId w:val="24"/>
  </w:num>
  <w:num w:numId="25" w16cid:durableId="1536041592">
    <w:abstractNumId w:val="0"/>
  </w:num>
  <w:num w:numId="26" w16cid:durableId="1854761340">
    <w:abstractNumId w:val="22"/>
  </w:num>
  <w:num w:numId="27" w16cid:durableId="1112750334">
    <w:abstractNumId w:val="35"/>
  </w:num>
  <w:num w:numId="28" w16cid:durableId="1904021794">
    <w:abstractNumId w:val="4"/>
  </w:num>
  <w:num w:numId="29" w16cid:durableId="2123646893">
    <w:abstractNumId w:val="36"/>
  </w:num>
  <w:num w:numId="30" w16cid:durableId="238176124">
    <w:abstractNumId w:val="7"/>
  </w:num>
  <w:num w:numId="31" w16cid:durableId="277683471">
    <w:abstractNumId w:val="26"/>
  </w:num>
  <w:num w:numId="32" w16cid:durableId="161554011">
    <w:abstractNumId w:val="5"/>
  </w:num>
  <w:num w:numId="33" w16cid:durableId="609895030">
    <w:abstractNumId w:val="39"/>
  </w:num>
  <w:num w:numId="34" w16cid:durableId="666592971">
    <w:abstractNumId w:val="21"/>
  </w:num>
  <w:num w:numId="35" w16cid:durableId="1919556265">
    <w:abstractNumId w:val="37"/>
  </w:num>
  <w:num w:numId="36" w16cid:durableId="2007433590">
    <w:abstractNumId w:val="19"/>
  </w:num>
  <w:num w:numId="37" w16cid:durableId="1618289012">
    <w:abstractNumId w:val="12"/>
  </w:num>
  <w:num w:numId="38" w16cid:durableId="1247958733">
    <w:abstractNumId w:val="18"/>
  </w:num>
  <w:num w:numId="39" w16cid:durableId="406540335">
    <w:abstractNumId w:val="29"/>
  </w:num>
  <w:num w:numId="40" w16cid:durableId="1540509424">
    <w:abstractNumId w:val="40"/>
  </w:num>
  <w:num w:numId="41" w16cid:durableId="1341661289">
    <w:abstractNumId w:val="8"/>
  </w:num>
  <w:num w:numId="42" w16cid:durableId="109571373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1461"/>
    <w:rsid w:val="000242BA"/>
    <w:rsid w:val="00025ED4"/>
    <w:rsid w:val="00026D53"/>
    <w:rsid w:val="000310E3"/>
    <w:rsid w:val="00040A31"/>
    <w:rsid w:val="00041902"/>
    <w:rsid w:val="000621A9"/>
    <w:rsid w:val="00070528"/>
    <w:rsid w:val="00074F15"/>
    <w:rsid w:val="000838D9"/>
    <w:rsid w:val="00083C2C"/>
    <w:rsid w:val="000B4643"/>
    <w:rsid w:val="000B61A4"/>
    <w:rsid w:val="000C0CBB"/>
    <w:rsid w:val="000D0666"/>
    <w:rsid w:val="000D1BF4"/>
    <w:rsid w:val="000D3464"/>
    <w:rsid w:val="000E62C7"/>
    <w:rsid w:val="000F0338"/>
    <w:rsid w:val="000F402A"/>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14031"/>
    <w:rsid w:val="002200F5"/>
    <w:rsid w:val="00220FF4"/>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132D"/>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67915"/>
    <w:rsid w:val="004752A5"/>
    <w:rsid w:val="004839C4"/>
    <w:rsid w:val="00483D3A"/>
    <w:rsid w:val="004859A5"/>
    <w:rsid w:val="0048613C"/>
    <w:rsid w:val="0049147F"/>
    <w:rsid w:val="004924DE"/>
    <w:rsid w:val="004A0FC9"/>
    <w:rsid w:val="004A2624"/>
    <w:rsid w:val="004A3A11"/>
    <w:rsid w:val="004A3DF9"/>
    <w:rsid w:val="004A74CD"/>
    <w:rsid w:val="004B3186"/>
    <w:rsid w:val="004C1BE3"/>
    <w:rsid w:val="004C27E1"/>
    <w:rsid w:val="004C2EE3"/>
    <w:rsid w:val="004C55E7"/>
    <w:rsid w:val="004C7B96"/>
    <w:rsid w:val="004D2B21"/>
    <w:rsid w:val="004D3E78"/>
    <w:rsid w:val="004E52B3"/>
    <w:rsid w:val="004F2E96"/>
    <w:rsid w:val="004F668A"/>
    <w:rsid w:val="005117A1"/>
    <w:rsid w:val="00511BFE"/>
    <w:rsid w:val="00516304"/>
    <w:rsid w:val="00521F2A"/>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3452"/>
    <w:rsid w:val="005F652F"/>
    <w:rsid w:val="00602AEA"/>
    <w:rsid w:val="006034E2"/>
    <w:rsid w:val="00607E93"/>
    <w:rsid w:val="00613F15"/>
    <w:rsid w:val="00615E29"/>
    <w:rsid w:val="00616ED8"/>
    <w:rsid w:val="00623B33"/>
    <w:rsid w:val="006258D2"/>
    <w:rsid w:val="006345A2"/>
    <w:rsid w:val="00634A7B"/>
    <w:rsid w:val="00637126"/>
    <w:rsid w:val="00644680"/>
    <w:rsid w:val="006454AD"/>
    <w:rsid w:val="0064607D"/>
    <w:rsid w:val="00651FD8"/>
    <w:rsid w:val="0065238E"/>
    <w:rsid w:val="00653A4D"/>
    <w:rsid w:val="00657A2C"/>
    <w:rsid w:val="006636E1"/>
    <w:rsid w:val="00666997"/>
    <w:rsid w:val="00667851"/>
    <w:rsid w:val="006713F6"/>
    <w:rsid w:val="0067177C"/>
    <w:rsid w:val="00671A36"/>
    <w:rsid w:val="0067415B"/>
    <w:rsid w:val="00680FF3"/>
    <w:rsid w:val="00683531"/>
    <w:rsid w:val="00683B28"/>
    <w:rsid w:val="006A1E18"/>
    <w:rsid w:val="006C39A0"/>
    <w:rsid w:val="006C40ED"/>
    <w:rsid w:val="006E0AF4"/>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0C83"/>
    <w:rsid w:val="007C617C"/>
    <w:rsid w:val="007C7D20"/>
    <w:rsid w:val="007D20BD"/>
    <w:rsid w:val="007D5A3B"/>
    <w:rsid w:val="007F6D02"/>
    <w:rsid w:val="008003FF"/>
    <w:rsid w:val="00802B8D"/>
    <w:rsid w:val="008067D6"/>
    <w:rsid w:val="00822873"/>
    <w:rsid w:val="008277D3"/>
    <w:rsid w:val="00827D19"/>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12C2"/>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77BE8"/>
    <w:rsid w:val="00981F00"/>
    <w:rsid w:val="009922EF"/>
    <w:rsid w:val="009B3D4B"/>
    <w:rsid w:val="009C348D"/>
    <w:rsid w:val="009C3FF8"/>
    <w:rsid w:val="009C7105"/>
    <w:rsid w:val="009D35AF"/>
    <w:rsid w:val="009D4FB4"/>
    <w:rsid w:val="009D5536"/>
    <w:rsid w:val="009E4CF7"/>
    <w:rsid w:val="009E54E8"/>
    <w:rsid w:val="009E61DD"/>
    <w:rsid w:val="009F1B52"/>
    <w:rsid w:val="009F445A"/>
    <w:rsid w:val="00A17A3C"/>
    <w:rsid w:val="00A262C4"/>
    <w:rsid w:val="00A27D67"/>
    <w:rsid w:val="00A31A8E"/>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52AF"/>
    <w:rsid w:val="00B96984"/>
    <w:rsid w:val="00BB192D"/>
    <w:rsid w:val="00BB338C"/>
    <w:rsid w:val="00BB4DD8"/>
    <w:rsid w:val="00BB7565"/>
    <w:rsid w:val="00BC60B8"/>
    <w:rsid w:val="00BC6D41"/>
    <w:rsid w:val="00BD64A8"/>
    <w:rsid w:val="00BD666C"/>
    <w:rsid w:val="00BF7C79"/>
    <w:rsid w:val="00C0449A"/>
    <w:rsid w:val="00C12C7A"/>
    <w:rsid w:val="00C12CF6"/>
    <w:rsid w:val="00C12D4B"/>
    <w:rsid w:val="00C154F5"/>
    <w:rsid w:val="00C20461"/>
    <w:rsid w:val="00C22178"/>
    <w:rsid w:val="00C22961"/>
    <w:rsid w:val="00C27BD9"/>
    <w:rsid w:val="00C350DD"/>
    <w:rsid w:val="00C4011A"/>
    <w:rsid w:val="00C41C88"/>
    <w:rsid w:val="00C45352"/>
    <w:rsid w:val="00C50C08"/>
    <w:rsid w:val="00C55803"/>
    <w:rsid w:val="00C62BA2"/>
    <w:rsid w:val="00C646C7"/>
    <w:rsid w:val="00C82681"/>
    <w:rsid w:val="00C85A8E"/>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073"/>
    <w:rsid w:val="00D331E1"/>
    <w:rsid w:val="00D346DA"/>
    <w:rsid w:val="00D35D30"/>
    <w:rsid w:val="00D43B05"/>
    <w:rsid w:val="00D4422E"/>
    <w:rsid w:val="00D474D1"/>
    <w:rsid w:val="00D57216"/>
    <w:rsid w:val="00D57313"/>
    <w:rsid w:val="00D64E94"/>
    <w:rsid w:val="00D67735"/>
    <w:rsid w:val="00D75260"/>
    <w:rsid w:val="00D769BD"/>
    <w:rsid w:val="00D852F2"/>
    <w:rsid w:val="00D8693A"/>
    <w:rsid w:val="00D86DA6"/>
    <w:rsid w:val="00D974AD"/>
    <w:rsid w:val="00DA1374"/>
    <w:rsid w:val="00DA35F3"/>
    <w:rsid w:val="00DA43B0"/>
    <w:rsid w:val="00DB211A"/>
    <w:rsid w:val="00DC176F"/>
    <w:rsid w:val="00DC3A8A"/>
    <w:rsid w:val="00DD0914"/>
    <w:rsid w:val="00DD3D9C"/>
    <w:rsid w:val="00DD3F67"/>
    <w:rsid w:val="00DD6AF5"/>
    <w:rsid w:val="00DE42CA"/>
    <w:rsid w:val="00DE61F8"/>
    <w:rsid w:val="00DE6659"/>
    <w:rsid w:val="00DE6A1A"/>
    <w:rsid w:val="00DE7506"/>
    <w:rsid w:val="00DF2A00"/>
    <w:rsid w:val="00DF697D"/>
    <w:rsid w:val="00DF7A3B"/>
    <w:rsid w:val="00E01113"/>
    <w:rsid w:val="00E05806"/>
    <w:rsid w:val="00E123BA"/>
    <w:rsid w:val="00E21C22"/>
    <w:rsid w:val="00E257B6"/>
    <w:rsid w:val="00E26A78"/>
    <w:rsid w:val="00E30EB9"/>
    <w:rsid w:val="00E36BC7"/>
    <w:rsid w:val="00E60B95"/>
    <w:rsid w:val="00E70C49"/>
    <w:rsid w:val="00E74E3D"/>
    <w:rsid w:val="00E75BD5"/>
    <w:rsid w:val="00E7662F"/>
    <w:rsid w:val="00E77098"/>
    <w:rsid w:val="00E85ED8"/>
    <w:rsid w:val="00E87784"/>
    <w:rsid w:val="00EA2CC9"/>
    <w:rsid w:val="00EA5FEB"/>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4988"/>
    <w:rsid w:val="00F255E8"/>
    <w:rsid w:val="00F27B4D"/>
    <w:rsid w:val="00F42AD0"/>
    <w:rsid w:val="00F45769"/>
    <w:rsid w:val="00F517B1"/>
    <w:rsid w:val="00F56348"/>
    <w:rsid w:val="00F57DC6"/>
    <w:rsid w:val="00F7665D"/>
    <w:rsid w:val="00F90371"/>
    <w:rsid w:val="00F93B8A"/>
    <w:rsid w:val="00FA07B0"/>
    <w:rsid w:val="00FB6581"/>
    <w:rsid w:val="00FD1B68"/>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styleId="Strong">
    <w:name w:val="Strong"/>
    <w:basedOn w:val="DefaultParagraphFont"/>
    <w:uiPriority w:val="22"/>
    <w:qFormat/>
    <w:rsid w:val="00521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134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8525536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490246608">
      <w:bodyDiv w:val="1"/>
      <w:marLeft w:val="0"/>
      <w:marRight w:val="0"/>
      <w:marTop w:val="0"/>
      <w:marBottom w:val="0"/>
      <w:divBdr>
        <w:top w:val="none" w:sz="0" w:space="0" w:color="auto"/>
        <w:left w:val="none" w:sz="0" w:space="0" w:color="auto"/>
        <w:bottom w:val="none" w:sz="0" w:space="0" w:color="auto"/>
        <w:right w:val="none" w:sz="0" w:space="0" w:color="auto"/>
      </w:divBdr>
    </w:div>
    <w:div w:id="1862280202">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173384"/>
          <a:ext cx="586409" cy="203547"/>
        </a:xfrm>
        <a:custGeom>
          <a:avLst/>
          <a:gdLst/>
          <a:ahLst/>
          <a:cxnLst/>
          <a:rect l="0" t="0" r="0" b="0"/>
          <a:pathLst>
            <a:path>
              <a:moveTo>
                <a:pt x="0" y="0"/>
              </a:moveTo>
              <a:lnTo>
                <a:pt x="0" y="101773"/>
              </a:lnTo>
              <a:lnTo>
                <a:pt x="586409" y="101773"/>
              </a:lnTo>
              <a:lnTo>
                <a:pt x="586409" y="2035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740506" y="1861568"/>
          <a:ext cx="171745" cy="1134613"/>
        </a:xfrm>
        <a:custGeom>
          <a:avLst/>
          <a:gdLst/>
          <a:ahLst/>
          <a:cxnLst/>
          <a:rect l="0" t="0" r="0" b="0"/>
          <a:pathLst>
            <a:path>
              <a:moveTo>
                <a:pt x="0" y="0"/>
              </a:moveTo>
              <a:lnTo>
                <a:pt x="0" y="1134613"/>
              </a:lnTo>
              <a:lnTo>
                <a:pt x="171745" y="11346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740506" y="1861568"/>
          <a:ext cx="145390" cy="445865"/>
        </a:xfrm>
        <a:custGeom>
          <a:avLst/>
          <a:gdLst/>
          <a:ahLst/>
          <a:cxnLst/>
          <a:rect l="0" t="0" r="0" b="0"/>
          <a:pathLst>
            <a:path>
              <a:moveTo>
                <a:pt x="0" y="0"/>
              </a:moveTo>
              <a:lnTo>
                <a:pt x="0" y="445865"/>
              </a:lnTo>
              <a:lnTo>
                <a:pt x="145390" y="445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2128215" y="1173384"/>
          <a:ext cx="586409" cy="203547"/>
        </a:xfrm>
        <a:custGeom>
          <a:avLst/>
          <a:gdLst/>
          <a:ahLst/>
          <a:cxnLst/>
          <a:rect l="0" t="0" r="0" b="0"/>
          <a:pathLst>
            <a:path>
              <a:moveTo>
                <a:pt x="586409" y="0"/>
              </a:moveTo>
              <a:lnTo>
                <a:pt x="586409" y="101773"/>
              </a:lnTo>
              <a:lnTo>
                <a:pt x="0" y="101773"/>
              </a:lnTo>
              <a:lnTo>
                <a:pt x="0" y="2035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485201"/>
          <a:ext cx="91440" cy="203547"/>
        </a:xfrm>
        <a:custGeom>
          <a:avLst/>
          <a:gdLst/>
          <a:ahLst/>
          <a:cxnLst/>
          <a:rect l="0" t="0" r="0" b="0"/>
          <a:pathLst>
            <a:path>
              <a:moveTo>
                <a:pt x="45720" y="0"/>
              </a:moveTo>
              <a:lnTo>
                <a:pt x="45720" y="2035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229988" y="565"/>
          <a:ext cx="969272" cy="4846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Service Manager</a:t>
          </a:r>
        </a:p>
      </dsp:txBody>
      <dsp:txXfrm>
        <a:off x="2229988" y="565"/>
        <a:ext cx="969272" cy="484636"/>
      </dsp:txXfrm>
    </dsp:sp>
    <dsp:sp modelId="{EE350375-BB8B-4A30-9F67-EE96E2515C29}">
      <dsp:nvSpPr>
        <dsp:cNvPr id="0" name=""/>
        <dsp:cNvSpPr/>
      </dsp:nvSpPr>
      <dsp:spPr>
        <a:xfrm>
          <a:off x="2229988" y="688748"/>
          <a:ext cx="969272" cy="4846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Assistant Service Manager</a:t>
          </a:r>
        </a:p>
      </dsp:txBody>
      <dsp:txXfrm>
        <a:off x="2229988" y="688748"/>
        <a:ext cx="969272" cy="484636"/>
      </dsp:txXfrm>
    </dsp:sp>
    <dsp:sp modelId="{AEA26B58-E80F-4F35-A275-0205CB0AED69}">
      <dsp:nvSpPr>
        <dsp:cNvPr id="0" name=""/>
        <dsp:cNvSpPr/>
      </dsp:nvSpPr>
      <dsp:spPr>
        <a:xfrm>
          <a:off x="1643579" y="1376931"/>
          <a:ext cx="969272" cy="484636"/>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Social Worker</a:t>
          </a:r>
        </a:p>
      </dsp:txBody>
      <dsp:txXfrm>
        <a:off x="1643579" y="1376931"/>
        <a:ext cx="969272" cy="484636"/>
      </dsp:txXfrm>
    </dsp:sp>
    <dsp:sp modelId="{9C07A0CF-B9A5-4AD0-BC06-7B5ABD77F2FA}">
      <dsp:nvSpPr>
        <dsp:cNvPr id="0" name=""/>
        <dsp:cNvSpPr/>
      </dsp:nvSpPr>
      <dsp:spPr>
        <a:xfrm>
          <a:off x="1885897" y="2065115"/>
          <a:ext cx="969272" cy="4846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Social Worker</a:t>
          </a:r>
        </a:p>
      </dsp:txBody>
      <dsp:txXfrm>
        <a:off x="1885897" y="2065115"/>
        <a:ext cx="969272" cy="484636"/>
      </dsp:txXfrm>
    </dsp:sp>
    <dsp:sp modelId="{AC95BCFE-8952-4BB1-9147-A39872F33FAF}">
      <dsp:nvSpPr>
        <dsp:cNvPr id="0" name=""/>
        <dsp:cNvSpPr/>
      </dsp:nvSpPr>
      <dsp:spPr>
        <a:xfrm>
          <a:off x="1912251" y="2753863"/>
          <a:ext cx="969272" cy="4846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Social Care Assessor</a:t>
          </a:r>
        </a:p>
      </dsp:txBody>
      <dsp:txXfrm>
        <a:off x="1912251" y="2753863"/>
        <a:ext cx="969272" cy="484636"/>
      </dsp:txXfrm>
    </dsp:sp>
    <dsp:sp modelId="{AC7ABFC7-B4DF-41BF-9A09-77B13087381D}">
      <dsp:nvSpPr>
        <dsp:cNvPr id="0" name=""/>
        <dsp:cNvSpPr/>
      </dsp:nvSpPr>
      <dsp:spPr>
        <a:xfrm>
          <a:off x="2816398" y="1376931"/>
          <a:ext cx="969272" cy="48463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Social Worker</a:t>
          </a:r>
        </a:p>
      </dsp:txBody>
      <dsp:txXfrm>
        <a:off x="2816398" y="1376931"/>
        <a:ext cx="969272" cy="4846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2026-07-13T19:55:00Z</dcterms:created>
  <dcterms:modified xsi:type="dcterms:W3CDTF">2026-07-13T19:55:00Z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