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w:t>
      </w:r>
      <w:bookmarkStart w:id="0" w:name="_GoBack"/>
      <w:bookmarkEnd w:id="0"/>
      <w:r w:rsidR="00B35400">
        <w:rPr>
          <w:rFonts w:ascii="Calibri" w:hAnsi="Calibri" w:cs="Calibri"/>
          <w:b/>
          <w:bCs/>
          <w:sz w:val="36"/>
          <w:szCs w:val="36"/>
        </w:rPr>
        <w:t>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C66E94" w:rsidP="000E62C7">
            <w:pPr>
              <w:autoSpaceDE w:val="0"/>
              <w:autoSpaceDN w:val="0"/>
              <w:adjustRightInd w:val="0"/>
              <w:rPr>
                <w:rFonts w:ascii="Calibri" w:hAnsi="Calibri" w:cs="Calibri"/>
              </w:rPr>
            </w:pPr>
            <w:r>
              <w:rPr>
                <w:rFonts w:ascii="Calibri" w:hAnsi="Calibri" w:cs="Calibri"/>
              </w:rPr>
              <w:t>Schools ICT Support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C66E94" w:rsidP="000E62C7">
            <w:pPr>
              <w:autoSpaceDE w:val="0"/>
              <w:autoSpaceDN w:val="0"/>
              <w:adjustRightInd w:val="0"/>
              <w:rPr>
                <w:rFonts w:ascii="Calibri" w:hAnsi="Calibri" w:cs="Calibri"/>
                <w:bCs/>
              </w:rPr>
            </w:pPr>
            <w:r>
              <w:rPr>
                <w:rFonts w:ascii="Calibri" w:hAnsi="Calibri" w:cs="Calibri"/>
                <w:bCs/>
              </w:rPr>
              <w:t>PO2</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5B7ACA" w:rsidP="000E62C7">
            <w:pPr>
              <w:autoSpaceDE w:val="0"/>
              <w:autoSpaceDN w:val="0"/>
              <w:adjustRightInd w:val="0"/>
              <w:rPr>
                <w:rFonts w:ascii="Calibri" w:hAnsi="Calibri" w:cs="Calibri"/>
                <w:bCs/>
              </w:rPr>
            </w:pPr>
            <w:r w:rsidRPr="00A86ACA">
              <w:rPr>
                <w:rFonts w:asciiTheme="minorHAnsi" w:hAnsiTheme="minorHAnsi" w:cs="Arial"/>
              </w:rPr>
              <w:t>Schools ICT Suppor</w:t>
            </w:r>
            <w:r>
              <w:rPr>
                <w:rFonts w:asciiTheme="minorHAnsi" w:hAnsiTheme="minorHAnsi" w:cs="Arial"/>
              </w:rPr>
              <w:t>t</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C66E94" w:rsidP="000E62C7">
            <w:pPr>
              <w:autoSpaceDE w:val="0"/>
              <w:autoSpaceDN w:val="0"/>
              <w:adjustRightInd w:val="0"/>
              <w:rPr>
                <w:rFonts w:ascii="Calibri" w:hAnsi="Calibri" w:cs="Calibri"/>
                <w:bCs/>
              </w:rPr>
            </w:pPr>
            <w:r>
              <w:rPr>
                <w:rFonts w:ascii="Calibri" w:hAnsi="Calibri" w:cs="Calibri"/>
                <w:bCs/>
              </w:rPr>
              <w:t>Children’s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5B7ACA" w:rsidP="00C90AB7">
            <w:pPr>
              <w:autoSpaceDE w:val="0"/>
              <w:autoSpaceDN w:val="0"/>
              <w:adjustRightInd w:val="0"/>
              <w:rPr>
                <w:rFonts w:ascii="Calibri" w:hAnsi="Calibri" w:cs="Calibri"/>
                <w:bCs/>
              </w:rPr>
            </w:pPr>
            <w:r>
              <w:rPr>
                <w:rFonts w:ascii="Calibri" w:hAnsi="Calibri" w:cs="Calibri"/>
                <w:bCs/>
              </w:rPr>
              <w:t>Schools ICT Support 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C66E94"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C66E94" w:rsidRDefault="00C66E94" w:rsidP="00927DFC">
            <w:pPr>
              <w:autoSpaceDE w:val="0"/>
              <w:autoSpaceDN w:val="0"/>
              <w:adjustRightInd w:val="0"/>
              <w:rPr>
                <w:rFonts w:asciiTheme="minorHAnsi" w:hAnsiTheme="minorHAnsi" w:cs="Calibri"/>
                <w:bCs/>
              </w:rPr>
            </w:pPr>
            <w:r w:rsidRPr="00C66E94">
              <w:rPr>
                <w:rFonts w:asciiTheme="minorHAnsi" w:hAnsiTheme="minorHAnsi" w:cs="Arial"/>
                <w:bCs/>
              </w:rPr>
              <w:t>E5119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6A1E18" w:rsidRDefault="00343CED" w:rsidP="006A1E18">
      <w:pPr>
        <w:rPr>
          <w:rFonts w:ascii="Calibri" w:hAnsi="Calibri" w:cs="Arial"/>
        </w:rPr>
      </w:pPr>
      <w:r w:rsidRPr="005B3EBF">
        <w:rPr>
          <w:rFonts w:ascii="Calibri" w:hAnsi="Calibri" w:cs="Arial"/>
          <w:b/>
          <w:bCs/>
        </w:rPr>
        <w:t xml:space="preserve">Job Purpose </w:t>
      </w:r>
    </w:p>
    <w:p w:rsidR="00343CED" w:rsidRDefault="00011E45" w:rsidP="00322AD0">
      <w:pPr>
        <w:autoSpaceDE w:val="0"/>
        <w:autoSpaceDN w:val="0"/>
        <w:adjustRightInd w:val="0"/>
        <w:rPr>
          <w:rFonts w:ascii="NimbusSanL-Regu" w:hAnsi="NimbusSanL-Regu" w:cs="NimbusSanL-Regu"/>
        </w:rPr>
      </w:pPr>
      <w:r>
        <w:rPr>
          <w:rFonts w:ascii="NimbusSanL-Regu" w:hAnsi="NimbusSanL-Regu" w:cs="NimbusSanL-Regu"/>
        </w:rPr>
        <w:t xml:space="preserve">To provide </w:t>
      </w:r>
      <w:r w:rsidR="005B7ACA">
        <w:rPr>
          <w:rFonts w:ascii="NimbusSanL-Regu" w:hAnsi="NimbusSanL-Regu" w:cs="NimbusSanL-Regu"/>
        </w:rPr>
        <w:t>comprehensive technical/curriculum ICT Support to schools</w:t>
      </w:r>
    </w:p>
    <w:p w:rsidR="00322AD0" w:rsidRPr="005B3EBF" w:rsidRDefault="00322AD0" w:rsidP="00322AD0">
      <w:pPr>
        <w:rPr>
          <w:rFonts w:ascii="Calibri" w:hAnsi="Calibri" w:cs="Arial"/>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5B7ACA" w:rsidRDefault="005B7ACA" w:rsidP="00343CED">
      <w:pPr>
        <w:rPr>
          <w:rFonts w:ascii="Calibri" w:hAnsi="Calibri" w:cs="Arial"/>
        </w:rPr>
      </w:pPr>
    </w:p>
    <w:p w:rsidR="005B7ACA" w:rsidRPr="005B7ACA" w:rsidRDefault="005B7ACA" w:rsidP="005B7ACA">
      <w:pPr>
        <w:rPr>
          <w:rFonts w:ascii="NimbusSanL-Regu" w:hAnsi="NimbusSanL-Regu" w:cs="Arial"/>
          <w:szCs w:val="20"/>
        </w:rPr>
      </w:pPr>
      <w:r w:rsidRPr="005B7ACA">
        <w:rPr>
          <w:rFonts w:ascii="NimbusSanL-Regu" w:hAnsi="NimbusSanL-Regu" w:cs="Arial"/>
        </w:rPr>
        <w:t>Level 1 (SO2)</w:t>
      </w:r>
    </w:p>
    <w:p w:rsidR="00C66E94" w:rsidRPr="005B7ACA" w:rsidRDefault="00C66E94" w:rsidP="00C66E94">
      <w:pPr>
        <w:rPr>
          <w:rFonts w:ascii="NimbusSanL-Regu" w:hAnsi="NimbusSanL-Regu" w:cs="Arial"/>
        </w:rPr>
      </w:pP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Responsible to the Schools ICT Support Manager for a day-to-day comprehensive technical/curriculum ICT support service to the borough's schools covering both administrative and curriculum systems.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 xml:space="preserve">Provides the first point of contact for all school’s logged technical/curriculum ICT calls via Schools ICT Support team’s helpdesk – </w:t>
      </w:r>
      <w:proofErr w:type="spellStart"/>
      <w:r w:rsidRPr="005B7ACA">
        <w:rPr>
          <w:rFonts w:ascii="NimbusSanL-Regu" w:hAnsi="NimbusSanL-Regu" w:cs="Arial"/>
        </w:rPr>
        <w:t>Vivantio</w:t>
      </w:r>
      <w:proofErr w:type="spellEnd"/>
      <w:r w:rsidRPr="005B7ACA">
        <w:rPr>
          <w:rFonts w:ascii="NimbusSanL-Regu" w:hAnsi="NimbusSanL-Regu" w:cs="Arial"/>
        </w:rPr>
        <w:t>.</w:t>
      </w:r>
    </w:p>
    <w:p w:rsidR="00C66E94"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Provides excellent phone and remote support for all supported schools.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lastRenderedPageBreak/>
        <w:t>Where necessary arranges for subsequent visits to assess and deal with schools technical/curriculum ICT problems.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Liaises, on behalf of schools, with 3</w:t>
      </w:r>
      <w:r w:rsidRPr="005B7ACA">
        <w:rPr>
          <w:rFonts w:ascii="NimbusSanL-Regu" w:hAnsi="NimbusSanL-Regu" w:cs="Arial"/>
          <w:vertAlign w:val="superscript"/>
        </w:rPr>
        <w:t>rd</w:t>
      </w:r>
      <w:r w:rsidRPr="005B7ACA">
        <w:rPr>
          <w:rFonts w:ascii="NimbusSanL-Regu" w:hAnsi="NimbusSanL-Regu" w:cs="Arial"/>
        </w:rPr>
        <w:t xml:space="preserve"> party suppliers of ICT goods and services to ensure that suppliers are aware of school’s technical/curriculum ICT issues and that appropriate responses are given.  Follow up with schools and suppliers to ensure successful completion of work.</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 xml:space="preserve">Monitors outstanding support calls in </w:t>
      </w:r>
      <w:proofErr w:type="spellStart"/>
      <w:r w:rsidRPr="005B7ACA">
        <w:rPr>
          <w:rFonts w:ascii="NimbusSanL-Regu" w:hAnsi="NimbusSanL-Regu" w:cs="Arial"/>
        </w:rPr>
        <w:t>Vivantio</w:t>
      </w:r>
      <w:proofErr w:type="spellEnd"/>
      <w:r w:rsidRPr="005B7ACA">
        <w:rPr>
          <w:rFonts w:ascii="NimbusSanL-Regu" w:hAnsi="NimbusSanL-Regu" w:cs="Arial"/>
        </w:rPr>
        <w:t xml:space="preserve"> to ensure speedy completion in line with trading account SLA.</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Maintains a good working knowledge of standard school’s software, for use with both administrative and curriculum networks, to respond to school’s technical/curriculum ICT issues.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Support calls received by email to be processed and dealt with to a high standard and in line with the trading account SLA.</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Ensures voicemail calls for support are logged and responded to directly where possible.</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Visits schools to resolve technical/curriculum ICT issues where remote support is not possible.</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Logs new software releases for all standard school’s software; maintains a library of manuals and installation notes; arranges distribution to schools where appropriate.</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Maintains an awareness of the section's trading account agreement and ensures it is adhered to in all dealings with schools.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Carries out routine school’s network tasks on a regular basis as follows: -</w:t>
      </w:r>
    </w:p>
    <w:p w:rsidR="005B7ACA" w:rsidRPr="005B7ACA" w:rsidRDefault="00C66E94" w:rsidP="005B7ACA">
      <w:pPr>
        <w:pStyle w:val="ListParagraph"/>
        <w:numPr>
          <w:ilvl w:val="1"/>
          <w:numId w:val="33"/>
        </w:numPr>
        <w:spacing w:after="120"/>
        <w:jc w:val="both"/>
        <w:rPr>
          <w:rFonts w:ascii="NimbusSanL-Regu" w:hAnsi="NimbusSanL-Regu" w:cs="Arial"/>
        </w:rPr>
      </w:pPr>
      <w:r w:rsidRPr="005B7ACA">
        <w:rPr>
          <w:rFonts w:ascii="NimbusSanL-Regu" w:hAnsi="NimbusSanL-Regu" w:cs="Arial"/>
        </w:rPr>
        <w:t xml:space="preserve">Ensures the </w:t>
      </w:r>
      <w:r w:rsidR="00794240" w:rsidRPr="005B7ACA">
        <w:rPr>
          <w:rFonts w:ascii="NimbusSanL-Regu" w:hAnsi="NimbusSanL-Regu" w:cs="Arial"/>
        </w:rPr>
        <w:t>back-up</w:t>
      </w:r>
      <w:r w:rsidRPr="005B7ACA">
        <w:rPr>
          <w:rFonts w:ascii="NimbusSanL-Regu" w:hAnsi="NimbusSanL-Regu" w:cs="Arial"/>
        </w:rPr>
        <w:t xml:space="preserve"> regime is followed on all supported school’s servers</w:t>
      </w:r>
    </w:p>
    <w:p w:rsidR="005B7ACA" w:rsidRPr="005B7ACA" w:rsidRDefault="00C66E94" w:rsidP="005B7ACA">
      <w:pPr>
        <w:pStyle w:val="ListParagraph"/>
        <w:numPr>
          <w:ilvl w:val="1"/>
          <w:numId w:val="33"/>
        </w:numPr>
        <w:spacing w:after="120"/>
        <w:jc w:val="both"/>
        <w:rPr>
          <w:rFonts w:ascii="NimbusSanL-Regu" w:hAnsi="NimbusSanL-Regu" w:cs="Arial"/>
        </w:rPr>
      </w:pPr>
      <w:r w:rsidRPr="005B7ACA">
        <w:rPr>
          <w:rFonts w:ascii="NimbusSanL-Regu" w:hAnsi="NimbusSanL-Regu" w:cs="Arial"/>
        </w:rPr>
        <w:t>Advises schools staff on basics of agreements between the Council and ICT support contractors</w:t>
      </w:r>
    </w:p>
    <w:p w:rsidR="005B7ACA" w:rsidRPr="005B7ACA" w:rsidRDefault="00C66E94" w:rsidP="005B7ACA">
      <w:pPr>
        <w:pStyle w:val="ListParagraph"/>
        <w:numPr>
          <w:ilvl w:val="1"/>
          <w:numId w:val="33"/>
        </w:numPr>
        <w:spacing w:after="120"/>
        <w:jc w:val="both"/>
        <w:rPr>
          <w:rFonts w:ascii="NimbusSanL-Regu" w:hAnsi="NimbusSanL-Regu" w:cs="Arial"/>
        </w:rPr>
      </w:pPr>
      <w:r w:rsidRPr="005B7ACA">
        <w:rPr>
          <w:rFonts w:ascii="NimbusSanL-Regu" w:hAnsi="NimbusSanL-Regu" w:cs="Arial"/>
        </w:rPr>
        <w:t xml:space="preserve">Logs calls with support contractors on behalf of schools using </w:t>
      </w:r>
      <w:proofErr w:type="spellStart"/>
      <w:r w:rsidRPr="005B7ACA">
        <w:rPr>
          <w:rFonts w:ascii="NimbusSanL-Regu" w:hAnsi="NimbusSanL-Regu" w:cs="Arial"/>
        </w:rPr>
        <w:t>Vivantio</w:t>
      </w:r>
      <w:proofErr w:type="spellEnd"/>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Undertakes any other duties commensurate with the post as directed by the Schools ICT Support Manager.</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lang w:val="en-US"/>
        </w:rPr>
        <w:t>To be fully aware of and understand the duties and responsibilities arising from the Children Act 2004 and Working Together in relation to child protection and safeguarding children and young people as this applies to your role within the Council.</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lang w:val="en-US"/>
        </w:rPr>
        <w:t>To also be fully aware of the principles of safeguarding as they apply to vulnerable adults in relation to your work role.</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lang w:val="en-US"/>
        </w:rPr>
        <w:t>To ensure that your line manager is made aware and kept fully informed of any concerns which you may have in relation to safeguarding and/or child protection.</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lang w:val="en-US"/>
        </w:rPr>
        <w:t>Responsible for adherence to the Council’s Equal Opportunities policies in respect of both the staff and delivery of services to the public.</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lang w:val="en-US"/>
        </w:rPr>
        <w:lastRenderedPageBreak/>
        <w:t>Responsible for the evaluation, implementation and compliance with Health and Safety legislation, to ensure safe working practices of all staff, public and contractors in his/her working environment, in accordance with the Council and departmental safety arrangements, policies and codes</w:t>
      </w:r>
      <w:r w:rsidR="005B7ACA" w:rsidRPr="005B7ACA">
        <w:rPr>
          <w:rFonts w:ascii="NimbusSanL-Regu" w:hAnsi="NimbusSanL-Regu" w:cs="Arial"/>
          <w:lang w:val="en-US"/>
        </w:rPr>
        <w:t>.</w:t>
      </w:r>
    </w:p>
    <w:p w:rsidR="005B7ACA" w:rsidRPr="005B7ACA" w:rsidRDefault="005B7ACA" w:rsidP="005B7ACA">
      <w:pPr>
        <w:spacing w:after="120"/>
        <w:jc w:val="both"/>
        <w:rPr>
          <w:rFonts w:ascii="NimbusSanL-Regu" w:hAnsi="NimbusSanL-Regu" w:cs="Arial"/>
        </w:rPr>
      </w:pPr>
    </w:p>
    <w:p w:rsidR="005B7ACA" w:rsidRPr="005B7ACA" w:rsidRDefault="005B7ACA" w:rsidP="005B7ACA">
      <w:pPr>
        <w:rPr>
          <w:rFonts w:ascii="NimbusSanL-Regu" w:hAnsi="NimbusSanL-Regu" w:cs="Arial"/>
          <w:szCs w:val="20"/>
        </w:rPr>
      </w:pPr>
      <w:r w:rsidRPr="005B7ACA">
        <w:rPr>
          <w:rFonts w:ascii="NimbusSanL-Regu" w:hAnsi="NimbusSanL-Regu" w:cs="Arial"/>
        </w:rPr>
        <w:t>Level 2 (PO1)</w:t>
      </w:r>
    </w:p>
    <w:p w:rsidR="005B7ACA" w:rsidRPr="005B7ACA" w:rsidRDefault="005B7ACA" w:rsidP="005B7ACA">
      <w:pPr>
        <w:pStyle w:val="ListParagraph"/>
        <w:spacing w:after="120"/>
        <w:jc w:val="both"/>
        <w:rPr>
          <w:rFonts w:ascii="NimbusSanL-Regu" w:hAnsi="NimbusSanL-Regu" w:cs="Arial"/>
        </w:rPr>
      </w:pPr>
    </w:p>
    <w:p w:rsidR="005B7ACA" w:rsidRPr="005B7ACA" w:rsidRDefault="00C66E94" w:rsidP="005B7ACA">
      <w:pPr>
        <w:pStyle w:val="ListParagraph"/>
        <w:numPr>
          <w:ilvl w:val="0"/>
          <w:numId w:val="35"/>
        </w:numPr>
        <w:spacing w:after="120"/>
        <w:jc w:val="both"/>
        <w:rPr>
          <w:rFonts w:ascii="NimbusSanL-Regu" w:hAnsi="NimbusSanL-Regu" w:cs="Arial"/>
        </w:rPr>
      </w:pPr>
      <w:r w:rsidRPr="005B7ACA">
        <w:rPr>
          <w:rFonts w:ascii="NimbusSanL-Regu" w:hAnsi="NimbusSanL-Regu" w:cs="Arial"/>
        </w:rPr>
        <w:t>Maintains an in-depth knowledge of all standard school’s software, plus any other software supported via trading account agreements; visits schools to resolve problems with these products.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Maintains a good working knowledge of iOS, MacOS, Android, Chrome OS and emerging technologies.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Maintains good working knowledge of Windows Surface Pro and other tablet devices used in schools.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Liaises with senior school staff on issues related to the management of school ICT systems; advises on best practice with system management.</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Installs and configures hardware including PCs, printers and other peripherals.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Installs and configures new releases of all supported software on networks and stand-alone systems.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Installs and configures file servers and other network equipment on school networks to section’s standard specification.</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Liaises with departmental officers responsible for managing business applications to which school’s administrative software modules relate to ensure schools receive a complete service.  Supports those officers in their local use of software used by schools.</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Advises the ICT Operations Manager of issues with school software such as poor performance, bugs, inconsistencies etc.</w:t>
      </w:r>
    </w:p>
    <w:p w:rsidR="005B7ACA"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Raises issues of perceived inadequate performance of standard school’s software with suppliers and makes recommendations (via the ICT Operations Manager) for suggested changes to functionality.</w:t>
      </w:r>
    </w:p>
    <w:p w:rsidR="00C66E94" w:rsidRPr="005B7ACA" w:rsidRDefault="00C66E94" w:rsidP="005B7ACA">
      <w:pPr>
        <w:pStyle w:val="ListParagraph"/>
        <w:numPr>
          <w:ilvl w:val="0"/>
          <w:numId w:val="33"/>
        </w:numPr>
        <w:spacing w:after="120"/>
        <w:jc w:val="both"/>
        <w:rPr>
          <w:rFonts w:ascii="NimbusSanL-Regu" w:hAnsi="NimbusSanL-Regu" w:cs="Arial"/>
        </w:rPr>
      </w:pPr>
      <w:r w:rsidRPr="005B7ACA">
        <w:rPr>
          <w:rFonts w:ascii="NimbusSanL-Regu" w:hAnsi="NimbusSanL-Regu" w:cs="Arial"/>
        </w:rPr>
        <w:t>Liaises with the Schools ICT Support Manager on initial and subsequent school visits to ensure a common approach and advice to schools on developing curriculum ICT facilities.</w:t>
      </w:r>
    </w:p>
    <w:p w:rsidR="00C66E94" w:rsidRPr="005B7ACA" w:rsidRDefault="00C66E94" w:rsidP="00C66E94">
      <w:pPr>
        <w:spacing w:after="120"/>
        <w:jc w:val="both"/>
        <w:rPr>
          <w:rFonts w:ascii="NimbusSanL-Regu" w:hAnsi="NimbusSanL-Regu" w:cs="Arial"/>
        </w:rPr>
      </w:pPr>
    </w:p>
    <w:p w:rsidR="00C66E94" w:rsidRPr="005B7ACA" w:rsidRDefault="00C66E94" w:rsidP="00C66E94">
      <w:pPr>
        <w:spacing w:after="120"/>
        <w:jc w:val="both"/>
        <w:rPr>
          <w:rFonts w:ascii="NimbusSanL-Regu" w:hAnsi="NimbusSanL-Regu" w:cs="Arial"/>
        </w:rPr>
      </w:pPr>
      <w:r w:rsidRPr="005B7ACA">
        <w:rPr>
          <w:rFonts w:ascii="NimbusSanL-Regu" w:hAnsi="NimbusSanL-Regu" w:cs="Arial"/>
        </w:rPr>
        <w:t>Level 3 (PO2)</w:t>
      </w:r>
    </w:p>
    <w:p w:rsidR="005B7ACA" w:rsidRPr="005B7ACA" w:rsidRDefault="00C66E94" w:rsidP="005B7ACA">
      <w:pPr>
        <w:pStyle w:val="ListParagraph"/>
        <w:numPr>
          <w:ilvl w:val="0"/>
          <w:numId w:val="34"/>
        </w:numPr>
        <w:spacing w:after="120"/>
        <w:jc w:val="both"/>
        <w:rPr>
          <w:rFonts w:ascii="NimbusSanL-Regu" w:hAnsi="NimbusSanL-Regu" w:cs="Arial"/>
        </w:rPr>
      </w:pPr>
      <w:r w:rsidRPr="005B7ACA">
        <w:rPr>
          <w:rFonts w:ascii="NimbusSanL-Regu" w:hAnsi="NimbusSanL-Regu" w:cs="Arial"/>
        </w:rPr>
        <w:t>Attends software User Group meetings as a representative of the Schools ICT Support team; advises colleagues on issues raised.</w:t>
      </w:r>
    </w:p>
    <w:p w:rsidR="005B7ACA" w:rsidRPr="005B7ACA" w:rsidRDefault="00C66E94" w:rsidP="005B7ACA">
      <w:pPr>
        <w:pStyle w:val="ListParagraph"/>
        <w:numPr>
          <w:ilvl w:val="0"/>
          <w:numId w:val="34"/>
        </w:numPr>
        <w:spacing w:after="120"/>
        <w:jc w:val="both"/>
        <w:rPr>
          <w:rFonts w:ascii="NimbusSanL-Regu" w:hAnsi="NimbusSanL-Regu" w:cs="Arial"/>
        </w:rPr>
      </w:pPr>
      <w:r w:rsidRPr="005B7ACA">
        <w:rPr>
          <w:rFonts w:ascii="NimbusSanL-Regu" w:hAnsi="NimbusSanL-Regu" w:cs="Arial"/>
        </w:rPr>
        <w:lastRenderedPageBreak/>
        <w:t>Prepares instructions for schools on the general and specific use of supported software; contributes to termly newsletters giving such advice to schools</w:t>
      </w:r>
      <w:r w:rsidR="005B7ACA" w:rsidRPr="005B7ACA">
        <w:rPr>
          <w:rFonts w:ascii="NimbusSanL-Regu" w:hAnsi="NimbusSanL-Regu" w:cs="Arial"/>
        </w:rPr>
        <w:t>.</w:t>
      </w:r>
    </w:p>
    <w:p w:rsidR="00C66E94" w:rsidRPr="005B7ACA" w:rsidRDefault="00C66E94" w:rsidP="005B7ACA">
      <w:pPr>
        <w:pStyle w:val="ListParagraph"/>
        <w:numPr>
          <w:ilvl w:val="0"/>
          <w:numId w:val="34"/>
        </w:numPr>
        <w:spacing w:after="120"/>
        <w:jc w:val="both"/>
        <w:rPr>
          <w:rFonts w:ascii="NimbusSanL-Regu" w:hAnsi="NimbusSanL-Regu" w:cs="Arial"/>
        </w:rPr>
      </w:pPr>
      <w:r w:rsidRPr="005B7ACA">
        <w:rPr>
          <w:rFonts w:ascii="NimbusSanL-Regu" w:hAnsi="NimbusSanL-Regu" w:cs="Arial"/>
        </w:rPr>
        <w:t>Prepares and delivers training sessions to school based staff on standard school’s software, both in schools and at the CLC training room.</w:t>
      </w:r>
    </w:p>
    <w:p w:rsidR="00343CED" w:rsidRPr="005B3EBF" w:rsidRDefault="00343CED" w:rsidP="00343CED">
      <w:pPr>
        <w:rPr>
          <w:rFonts w:ascii="Calibri" w:hAnsi="Calibri" w:cs="Arial"/>
        </w:rPr>
      </w:pPr>
    </w:p>
    <w:p w:rsidR="0015656E" w:rsidRDefault="0015656E" w:rsidP="00BB4DD8">
      <w:pPr>
        <w:rPr>
          <w:rFonts w:ascii="Calibri" w:hAnsi="Calibri" w:cs="Arial"/>
          <w:b/>
          <w:bCs/>
        </w:rPr>
      </w:pP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5672BF" w:rsidRDefault="005672BF" w:rsidP="00B53894">
      <w:pPr>
        <w:rPr>
          <w:rFonts w:ascii="Calibri" w:hAnsi="Calibri" w:cs="Arial"/>
        </w:rPr>
      </w:pPr>
      <w:r w:rsidRPr="005672BF">
        <w:rPr>
          <w:rFonts w:ascii="Calibri" w:hAnsi="Calibri" w:cs="Arial"/>
        </w:rPr>
        <w:t>N/A</w:t>
      </w:r>
    </w:p>
    <w:p w:rsidR="003847D3" w:rsidRDefault="003847D3" w:rsidP="00B53894">
      <w:pPr>
        <w:rPr>
          <w:rFonts w:ascii="Calibri" w:hAnsi="Calibri" w:cs="Arial"/>
          <w:b/>
        </w:rPr>
      </w:pPr>
    </w:p>
    <w:p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26064E" w:rsidRPr="0026064E" w:rsidRDefault="0026064E" w:rsidP="0026064E">
      <w:pPr>
        <w:autoSpaceDE w:val="0"/>
        <w:autoSpaceDN w:val="0"/>
        <w:adjustRightInd w:val="0"/>
        <w:rPr>
          <w:rFonts w:ascii="Calibri" w:hAnsi="Calibri" w:cs="Arial"/>
          <w:bCs/>
          <w:color w:val="000000"/>
        </w:rPr>
      </w:pPr>
    </w:p>
    <w:p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rsidR="00DF697D" w:rsidRDefault="00DF697D" w:rsidP="0026064E">
      <w:pPr>
        <w:autoSpaceDE w:val="0"/>
        <w:autoSpaceDN w:val="0"/>
        <w:adjustRightInd w:val="0"/>
        <w:rPr>
          <w:rFonts w:ascii="Calibri" w:hAnsi="Calibri" w:cs="Arial"/>
          <w:bCs/>
          <w:color w:val="000000"/>
        </w:rPr>
      </w:pPr>
    </w:p>
    <w:p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794240" w:rsidRDefault="00B53894" w:rsidP="005B7ACA">
            <w:pPr>
              <w:rPr>
                <w:rFonts w:ascii="Calibri" w:hAnsi="Calibri" w:cs="Calibri"/>
                <w:b/>
                <w:bCs/>
              </w:rPr>
            </w:pPr>
            <w:r w:rsidRPr="005B3EBF">
              <w:rPr>
                <w:rFonts w:ascii="Calibri" w:hAnsi="Calibri" w:cs="Calibri"/>
                <w:b/>
                <w:bCs/>
              </w:rPr>
              <w:t xml:space="preserve"> Job Title: </w:t>
            </w:r>
          </w:p>
          <w:p w:rsidR="005B7ACA" w:rsidRPr="005B3EBF" w:rsidRDefault="005B7ACA" w:rsidP="005B7ACA">
            <w:pPr>
              <w:rPr>
                <w:rFonts w:ascii="Calibri" w:hAnsi="Calibri" w:cs="Arial"/>
              </w:rPr>
            </w:pPr>
            <w:r w:rsidRPr="00A86ACA">
              <w:rPr>
                <w:rFonts w:asciiTheme="minorHAnsi" w:hAnsiTheme="minorHAnsi" w:cs="Calibri"/>
                <w:bCs/>
              </w:rPr>
              <w:t>Schools ICT Support Officer</w:t>
            </w:r>
          </w:p>
          <w:p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rsidR="00794240"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rsidR="00B53894" w:rsidRPr="0049147F" w:rsidRDefault="005B7ACA" w:rsidP="00B3662C">
            <w:pPr>
              <w:autoSpaceDE w:val="0"/>
              <w:autoSpaceDN w:val="0"/>
              <w:adjustRightInd w:val="0"/>
              <w:contextualSpacing/>
              <w:rPr>
                <w:rFonts w:ascii="Calibri" w:hAnsi="Calibri" w:cs="Calibri"/>
                <w:bCs/>
              </w:rPr>
            </w:pPr>
            <w:r>
              <w:rPr>
                <w:rFonts w:ascii="Calibri" w:hAnsi="Calibri" w:cs="Calibri"/>
                <w:bCs/>
              </w:rPr>
              <w:t>PO2</w:t>
            </w:r>
          </w:p>
        </w:tc>
      </w:tr>
      <w:tr w:rsidR="00B53894" w:rsidRPr="005B3EBF" w:rsidTr="0049147F">
        <w:trPr>
          <w:trHeight w:val="493"/>
        </w:trPr>
        <w:tc>
          <w:tcPr>
            <w:tcW w:w="4261" w:type="dxa"/>
            <w:shd w:val="clear" w:color="auto" w:fill="D9D9D9"/>
          </w:tcPr>
          <w:p w:rsidR="00794240"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B53894" w:rsidRDefault="005B7ACA" w:rsidP="00B53894">
            <w:pPr>
              <w:autoSpaceDE w:val="0"/>
              <w:autoSpaceDN w:val="0"/>
              <w:adjustRightInd w:val="0"/>
              <w:contextualSpacing/>
              <w:rPr>
                <w:rFonts w:ascii="Calibri" w:hAnsi="Calibri" w:cs="Calibri"/>
                <w:bCs/>
              </w:rPr>
            </w:pPr>
            <w:r w:rsidRPr="005B7ACA">
              <w:rPr>
                <w:rFonts w:ascii="Calibri" w:hAnsi="Calibri" w:cs="Calibri"/>
                <w:bCs/>
              </w:rPr>
              <w:t>Schools ICT Support</w:t>
            </w:r>
          </w:p>
          <w:p w:rsidR="00794240" w:rsidRPr="0049147F" w:rsidRDefault="00794240" w:rsidP="00B53894">
            <w:pPr>
              <w:autoSpaceDE w:val="0"/>
              <w:autoSpaceDN w:val="0"/>
              <w:adjustRightInd w:val="0"/>
              <w:contextualSpacing/>
              <w:rPr>
                <w:rFonts w:ascii="Calibri" w:hAnsi="Calibri" w:cs="Calibri"/>
                <w:b/>
                <w:bCs/>
              </w:rPr>
            </w:pPr>
          </w:p>
        </w:tc>
        <w:tc>
          <w:tcPr>
            <w:tcW w:w="4494" w:type="dxa"/>
            <w:shd w:val="clear" w:color="auto" w:fill="D9D9D9"/>
          </w:tcPr>
          <w:p w:rsidR="00794240"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B53894" w:rsidRPr="0049147F" w:rsidRDefault="005B7ACA" w:rsidP="00B53894">
            <w:pPr>
              <w:autoSpaceDE w:val="0"/>
              <w:autoSpaceDN w:val="0"/>
              <w:adjustRightInd w:val="0"/>
              <w:contextualSpacing/>
              <w:rPr>
                <w:rFonts w:ascii="Calibri" w:hAnsi="Calibri" w:cs="Calibri"/>
                <w:bCs/>
              </w:rPr>
            </w:pPr>
            <w:r>
              <w:rPr>
                <w:rFonts w:ascii="Calibri" w:hAnsi="Calibri" w:cs="Calibri"/>
                <w:bCs/>
              </w:rPr>
              <w:t>Children’s Services</w:t>
            </w: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5B7ACA" w:rsidRDefault="005B7ACA" w:rsidP="00B53894">
            <w:pPr>
              <w:autoSpaceDE w:val="0"/>
              <w:autoSpaceDN w:val="0"/>
              <w:adjustRightInd w:val="0"/>
              <w:contextualSpacing/>
              <w:rPr>
                <w:rFonts w:ascii="Calibri" w:hAnsi="Calibri" w:cs="Calibri"/>
                <w:bCs/>
              </w:rPr>
            </w:pPr>
            <w:r w:rsidRPr="00794240">
              <w:rPr>
                <w:rFonts w:ascii="Calibri" w:hAnsi="Calibri" w:cs="Calibri"/>
                <w:bCs/>
              </w:rPr>
              <w:t>Schools ICT Support Manager</w:t>
            </w:r>
          </w:p>
          <w:p w:rsidR="00794240" w:rsidRPr="00794240" w:rsidRDefault="00794240" w:rsidP="00B53894">
            <w:pPr>
              <w:autoSpaceDE w:val="0"/>
              <w:autoSpaceDN w:val="0"/>
              <w:adjustRightInd w:val="0"/>
              <w:contextualSpacing/>
              <w:rPr>
                <w:rFonts w:ascii="Calibri" w:hAnsi="Calibri" w:cs="Calibri"/>
                <w:bCs/>
              </w:rPr>
            </w:pPr>
          </w:p>
        </w:tc>
        <w:tc>
          <w:tcPr>
            <w:tcW w:w="4494" w:type="dxa"/>
            <w:shd w:val="clear" w:color="auto" w:fill="D9D9D9"/>
          </w:tcPr>
          <w:p w:rsidR="00794240"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794240">
              <w:rPr>
                <w:rFonts w:ascii="Calibri" w:hAnsi="Calibri" w:cs="Calibri"/>
                <w:b/>
                <w:bCs/>
              </w:rPr>
              <w:t xml:space="preserve"> </w:t>
            </w:r>
          </w:p>
          <w:p w:rsidR="00B53894" w:rsidRPr="005B3EBF" w:rsidRDefault="00794240" w:rsidP="00B53894">
            <w:pPr>
              <w:autoSpaceDE w:val="0"/>
              <w:autoSpaceDN w:val="0"/>
              <w:adjustRightInd w:val="0"/>
              <w:contextualSpacing/>
              <w:rPr>
                <w:rFonts w:ascii="Calibri" w:hAnsi="Calibri" w:cs="Calibri"/>
                <w:b/>
                <w:bCs/>
              </w:rPr>
            </w:pPr>
            <w:r w:rsidRPr="00794240">
              <w:rPr>
                <w:rFonts w:ascii="Calibri" w:hAnsi="Calibri" w:cs="Calibri"/>
                <w:bCs/>
              </w:rPr>
              <w:t>N/A</w:t>
            </w:r>
          </w:p>
        </w:tc>
      </w:tr>
      <w:tr w:rsidR="00B53894" w:rsidRPr="005B3EBF" w:rsidTr="00397448">
        <w:trPr>
          <w:trHeight w:val="477"/>
        </w:trPr>
        <w:tc>
          <w:tcPr>
            <w:tcW w:w="4261" w:type="dxa"/>
            <w:shd w:val="clear" w:color="auto" w:fill="D9D9D9"/>
          </w:tcPr>
          <w:p w:rsidR="00794240"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rsidR="00B53894" w:rsidRDefault="00794240" w:rsidP="00B53894">
            <w:pPr>
              <w:autoSpaceDE w:val="0"/>
              <w:autoSpaceDN w:val="0"/>
              <w:adjustRightInd w:val="0"/>
              <w:contextualSpacing/>
              <w:rPr>
                <w:rFonts w:ascii="Calibri" w:hAnsi="Calibri" w:cs="Calibri"/>
                <w:bCs/>
              </w:rPr>
            </w:pPr>
            <w:r w:rsidRPr="00794240">
              <w:rPr>
                <w:rFonts w:ascii="Calibri" w:hAnsi="Calibri" w:cs="Calibri"/>
                <w:bCs/>
              </w:rPr>
              <w:t>E5119</w:t>
            </w:r>
          </w:p>
          <w:p w:rsidR="00794240" w:rsidRPr="005B3EBF" w:rsidRDefault="00794240" w:rsidP="00B53894">
            <w:pPr>
              <w:autoSpaceDE w:val="0"/>
              <w:autoSpaceDN w:val="0"/>
              <w:adjustRightInd w:val="0"/>
              <w:contextualSpacing/>
              <w:rPr>
                <w:rFonts w:ascii="Calibri" w:hAnsi="Calibri" w:cs="Calibri"/>
                <w:b/>
                <w:bCs/>
              </w:rPr>
            </w:pP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794240" w:rsidRDefault="001E05C1">
      <w:pPr>
        <w:rPr>
          <w:rFonts w:ascii="Calibri" w:hAnsi="Calibri"/>
          <w:sz w:val="22"/>
          <w:szCs w:val="22"/>
        </w:rPr>
      </w:pPr>
      <w:r w:rsidRPr="00794240">
        <w:rPr>
          <w:rFonts w:ascii="Calibri" w:hAnsi="Calibri" w:cs="Arial"/>
          <w:b/>
          <w:sz w:val="22"/>
          <w:szCs w:val="22"/>
        </w:rPr>
        <w:t>Our</w:t>
      </w:r>
      <w:r w:rsidR="00BB4DD8" w:rsidRPr="00794240">
        <w:rPr>
          <w:rFonts w:ascii="Calibri" w:hAnsi="Calibri" w:cs="Arial"/>
          <w:b/>
          <w:sz w:val="22"/>
          <w:szCs w:val="22"/>
        </w:rPr>
        <w:t xml:space="preserve"> Values and Behaviours</w:t>
      </w:r>
    </w:p>
    <w:p w:rsidR="00AB7915" w:rsidRPr="00794240" w:rsidRDefault="00AB7915" w:rsidP="00AB7915">
      <w:pPr>
        <w:rPr>
          <w:rFonts w:ascii="Calibri" w:hAnsi="Calibri"/>
          <w:sz w:val="22"/>
          <w:szCs w:val="22"/>
        </w:rPr>
      </w:pPr>
      <w:r w:rsidRPr="00794240">
        <w:rPr>
          <w:rFonts w:ascii="Calibri" w:hAnsi="Calibri"/>
          <w:sz w:val="22"/>
          <w:szCs w:val="22"/>
        </w:rPr>
        <w:t>The values and behavio</w:t>
      </w:r>
      <w:r w:rsidR="00623B33" w:rsidRPr="00794240">
        <w:rPr>
          <w:rFonts w:ascii="Calibri" w:hAnsi="Calibri"/>
          <w:sz w:val="22"/>
          <w:szCs w:val="22"/>
        </w:rPr>
        <w:t>urs we seek from our staff draw</w:t>
      </w:r>
      <w:r w:rsidRPr="00794240">
        <w:rPr>
          <w:rFonts w:ascii="Calibri" w:hAnsi="Calibri"/>
          <w:sz w:val="22"/>
          <w:szCs w:val="22"/>
        </w:rPr>
        <w:t xml:space="preserve"> on the high standards of the two boroughs, and </w:t>
      </w:r>
      <w:r w:rsidR="00F27B4D" w:rsidRPr="00794240">
        <w:rPr>
          <w:rFonts w:ascii="Calibri" w:hAnsi="Calibri"/>
          <w:sz w:val="22"/>
          <w:szCs w:val="22"/>
        </w:rPr>
        <w:t xml:space="preserve">we </w:t>
      </w:r>
      <w:r w:rsidRPr="00794240">
        <w:rPr>
          <w:rFonts w:ascii="Calibri" w:hAnsi="Calibri"/>
          <w:sz w:val="22"/>
          <w:szCs w:val="22"/>
        </w:rPr>
        <w:t>prize these qualities in particular</w:t>
      </w:r>
      <w:r w:rsidR="00975F12" w:rsidRPr="00794240">
        <w:rPr>
          <w:rFonts w:ascii="Calibri" w:hAnsi="Calibri"/>
          <w:sz w:val="22"/>
          <w:szCs w:val="22"/>
        </w:rPr>
        <w:t>:</w:t>
      </w:r>
    </w:p>
    <w:p w:rsidR="00975F12" w:rsidRPr="00794240" w:rsidRDefault="00975F12" w:rsidP="00AB7915">
      <w:pPr>
        <w:rPr>
          <w:rFonts w:ascii="Calibri" w:hAnsi="Calibri"/>
          <w:sz w:val="22"/>
          <w:szCs w:val="22"/>
        </w:rPr>
      </w:pPr>
    </w:p>
    <w:p w:rsidR="00975F12" w:rsidRPr="00794240" w:rsidRDefault="00975F12" w:rsidP="00975F12">
      <w:pPr>
        <w:spacing w:after="200" w:line="276" w:lineRule="auto"/>
        <w:rPr>
          <w:rFonts w:ascii="Calibri" w:hAnsi="Calibri"/>
          <w:sz w:val="22"/>
          <w:szCs w:val="22"/>
        </w:rPr>
      </w:pPr>
      <w:r w:rsidRPr="00794240">
        <w:rPr>
          <w:rFonts w:ascii="Calibri" w:hAnsi="Calibri"/>
          <w:b/>
          <w:sz w:val="22"/>
          <w:szCs w:val="22"/>
        </w:rPr>
        <w:t>Being open.</w:t>
      </w:r>
      <w:r w:rsidRPr="00794240">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975F12" w:rsidRPr="00794240" w:rsidRDefault="00975F12" w:rsidP="00975F12">
      <w:pPr>
        <w:shd w:val="clear" w:color="auto" w:fill="FFFFFF"/>
        <w:spacing w:before="120" w:after="120"/>
        <w:textAlignment w:val="top"/>
        <w:outlineLvl w:val="3"/>
        <w:rPr>
          <w:rFonts w:ascii="Calibri" w:hAnsi="Calibri"/>
          <w:sz w:val="22"/>
          <w:szCs w:val="22"/>
        </w:rPr>
      </w:pPr>
      <w:r w:rsidRPr="00794240">
        <w:rPr>
          <w:rFonts w:ascii="Calibri" w:hAnsi="Calibri"/>
          <w:b/>
          <w:sz w:val="22"/>
          <w:szCs w:val="22"/>
        </w:rPr>
        <w:t>Being supportive.</w:t>
      </w:r>
      <w:r w:rsidRPr="00794240">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975F12" w:rsidRPr="00794240" w:rsidRDefault="00975F12" w:rsidP="00975F12">
      <w:pPr>
        <w:shd w:val="clear" w:color="auto" w:fill="FFFFFF"/>
        <w:spacing w:before="120" w:after="120"/>
        <w:textAlignment w:val="top"/>
        <w:outlineLvl w:val="3"/>
        <w:rPr>
          <w:rFonts w:ascii="Calibri" w:hAnsi="Calibri"/>
          <w:sz w:val="22"/>
          <w:szCs w:val="22"/>
        </w:rPr>
      </w:pPr>
      <w:r w:rsidRPr="00794240">
        <w:rPr>
          <w:rFonts w:ascii="Calibri" w:hAnsi="Calibri"/>
          <w:b/>
          <w:sz w:val="22"/>
          <w:szCs w:val="22"/>
        </w:rPr>
        <w:t>Being positive.</w:t>
      </w:r>
      <w:r w:rsidRPr="00794240">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794240" w:rsidRDefault="00794240" w:rsidP="00975F12">
      <w:pPr>
        <w:shd w:val="clear" w:color="auto" w:fill="FFFFFF"/>
        <w:spacing w:before="120" w:after="120"/>
        <w:textAlignment w:val="top"/>
        <w:outlineLvl w:val="3"/>
        <w:rPr>
          <w:rFonts w:ascii="Calibri" w:hAnsi="Calibr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531"/>
      </w:tblGrid>
      <w:tr w:rsidR="00794240" w:rsidRPr="008B3AED" w:rsidTr="005672BF">
        <w:trPr>
          <w:trHeight w:hRule="exact" w:val="1753"/>
        </w:trPr>
        <w:tc>
          <w:tcPr>
            <w:tcW w:w="8642" w:type="dxa"/>
            <w:shd w:val="clear" w:color="auto" w:fill="D9D9D9"/>
          </w:tcPr>
          <w:p w:rsidR="00794240" w:rsidRPr="005672BF" w:rsidRDefault="00794240" w:rsidP="00794240">
            <w:pPr>
              <w:rPr>
                <w:rFonts w:ascii="Calibri" w:hAnsi="Calibri" w:cs="Arial"/>
                <w:b/>
                <w:bCs/>
              </w:rPr>
            </w:pPr>
            <w:r w:rsidRPr="005672BF">
              <w:rPr>
                <w:rFonts w:ascii="Calibri" w:hAnsi="Calibri" w:cs="Arial"/>
                <w:b/>
                <w:bCs/>
              </w:rPr>
              <w:t>Person Specification Requirements</w:t>
            </w:r>
          </w:p>
          <w:p w:rsidR="00794240" w:rsidRPr="005672BF" w:rsidRDefault="00794240" w:rsidP="007A6D9A">
            <w:pPr>
              <w:autoSpaceDE w:val="0"/>
              <w:autoSpaceDN w:val="0"/>
              <w:adjustRightInd w:val="0"/>
              <w:rPr>
                <w:rFonts w:ascii="Calibri" w:hAnsi="Calibri" w:cs="Calibri"/>
                <w:bCs/>
                <w:i/>
              </w:rPr>
            </w:pPr>
          </w:p>
        </w:tc>
        <w:tc>
          <w:tcPr>
            <w:tcW w:w="1531" w:type="dxa"/>
            <w:shd w:val="clear" w:color="auto" w:fill="D9D9D9"/>
          </w:tcPr>
          <w:p w:rsidR="00794240" w:rsidRPr="005672BF" w:rsidRDefault="00794240" w:rsidP="00794240">
            <w:pPr>
              <w:jc w:val="center"/>
              <w:rPr>
                <w:rFonts w:ascii="Calibri" w:hAnsi="Calibri" w:cs="Arial"/>
                <w:b/>
                <w:bCs/>
              </w:rPr>
            </w:pPr>
            <w:r w:rsidRPr="005672BF">
              <w:rPr>
                <w:rFonts w:ascii="Calibri" w:hAnsi="Calibri" w:cs="Arial"/>
                <w:b/>
                <w:bCs/>
              </w:rPr>
              <w:t xml:space="preserve">Assessed by </w:t>
            </w:r>
          </w:p>
          <w:p w:rsidR="00794240" w:rsidRPr="005672BF" w:rsidRDefault="00794240" w:rsidP="00794240">
            <w:pPr>
              <w:jc w:val="center"/>
              <w:rPr>
                <w:rFonts w:ascii="Calibri" w:hAnsi="Calibri" w:cs="Arial"/>
                <w:b/>
                <w:bCs/>
              </w:rPr>
            </w:pPr>
            <w:r w:rsidRPr="005672BF">
              <w:rPr>
                <w:rFonts w:ascii="Calibri" w:hAnsi="Calibri" w:cs="Arial"/>
                <w:b/>
                <w:bCs/>
              </w:rPr>
              <w:t xml:space="preserve">A </w:t>
            </w:r>
          </w:p>
          <w:p w:rsidR="00794240" w:rsidRPr="005672BF" w:rsidRDefault="00794240" w:rsidP="00794240">
            <w:pPr>
              <w:autoSpaceDE w:val="0"/>
              <w:autoSpaceDN w:val="0"/>
              <w:adjustRightInd w:val="0"/>
              <w:jc w:val="center"/>
              <w:rPr>
                <w:rFonts w:ascii="Calibri" w:hAnsi="Calibri" w:cs="Calibri"/>
                <w:bCs/>
              </w:rPr>
            </w:pPr>
            <w:r w:rsidRPr="005672BF">
              <w:rPr>
                <w:rFonts w:ascii="Calibri" w:hAnsi="Calibri" w:cs="Arial"/>
                <w:b/>
                <w:bCs/>
              </w:rPr>
              <w:t xml:space="preserve"> &amp; </w:t>
            </w:r>
            <w:r w:rsidRPr="005672BF">
              <w:rPr>
                <w:rFonts w:ascii="Calibri" w:hAnsi="Calibri" w:cs="Arial"/>
              </w:rPr>
              <w:t xml:space="preserve"> </w:t>
            </w:r>
            <w:r w:rsidRPr="005672BF">
              <w:rPr>
                <w:rFonts w:ascii="Calibri" w:hAnsi="Calibri" w:cs="Arial"/>
                <w:b/>
                <w:bCs/>
              </w:rPr>
              <w:t>I/ T/ C (see below for explanation)</w:t>
            </w:r>
          </w:p>
        </w:tc>
      </w:tr>
      <w:tr w:rsidR="00794240" w:rsidRPr="00EB50EC" w:rsidTr="007A6D9A">
        <w:trPr>
          <w:trHeight w:val="70"/>
        </w:trPr>
        <w:tc>
          <w:tcPr>
            <w:tcW w:w="10173" w:type="dxa"/>
            <w:gridSpan w:val="2"/>
            <w:shd w:val="clear" w:color="auto" w:fill="D9D9D9"/>
          </w:tcPr>
          <w:p w:rsidR="00794240" w:rsidRPr="005672BF" w:rsidRDefault="00794240" w:rsidP="007A6D9A">
            <w:pPr>
              <w:autoSpaceDE w:val="0"/>
              <w:autoSpaceDN w:val="0"/>
              <w:adjustRightInd w:val="0"/>
              <w:rPr>
                <w:rFonts w:ascii="Calibri" w:hAnsi="Calibri" w:cs="Arial"/>
                <w:b/>
                <w:bCs/>
              </w:rPr>
            </w:pPr>
            <w:r w:rsidRPr="005672BF">
              <w:rPr>
                <w:rFonts w:ascii="Calibri" w:hAnsi="Calibri" w:cs="Arial"/>
                <w:b/>
                <w:bCs/>
              </w:rPr>
              <w:t xml:space="preserve">Knowledge </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Detailed knowledge of Microsoft operating systems and other Microsoft software, specifically Windows Server 2008/2016, Windows 7/10 and Office Professional 2010 /2013/ 2016.</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Detailed knowledge of SIMS school’s software with experience of supporting the SIMS suite of modules in schools.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Good knowledge of the computing curriculum.</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EB50EC" w:rsidTr="007A6D9A">
        <w:trPr>
          <w:trHeight w:val="70"/>
        </w:trPr>
        <w:tc>
          <w:tcPr>
            <w:tcW w:w="10173" w:type="dxa"/>
            <w:gridSpan w:val="2"/>
            <w:shd w:val="clear" w:color="auto" w:fill="D9D9D9"/>
          </w:tcPr>
          <w:p w:rsidR="00794240" w:rsidRPr="005672BF" w:rsidRDefault="00794240" w:rsidP="007A6D9A">
            <w:pPr>
              <w:autoSpaceDE w:val="0"/>
              <w:autoSpaceDN w:val="0"/>
              <w:adjustRightInd w:val="0"/>
              <w:rPr>
                <w:rFonts w:ascii="Calibri" w:hAnsi="Calibri" w:cs="Arial"/>
                <w:b/>
                <w:bCs/>
              </w:rPr>
            </w:pPr>
            <w:r w:rsidRPr="005672BF">
              <w:rPr>
                <w:rFonts w:ascii="Calibri" w:hAnsi="Calibri" w:cs="Arial"/>
                <w:b/>
                <w:bCs/>
              </w:rPr>
              <w:t>Experience</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lastRenderedPageBreak/>
              <w:t>Experience of working in a professional ICT environment in a relevant</w:t>
            </w:r>
            <w:r w:rsidRPr="005672BF">
              <w:rPr>
                <w:rFonts w:ascii="Calibri" w:hAnsi="Calibri"/>
                <w:color w:val="0000FF"/>
              </w:rPr>
              <w:t xml:space="preserve"> </w:t>
            </w:r>
            <w:r w:rsidRPr="005672BF">
              <w:rPr>
                <w:rFonts w:ascii="Calibri" w:hAnsi="Calibri"/>
              </w:rPr>
              <w:t>technical capacity.</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Experience of providing support from a range of operating systems including iOS, MacOS, Android, Chrome OS.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Experience of providing direct end-user technical support, specifically in a troubleshooting capacity</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Experience of working in a technical team with ever changing priorities, working under pressure and meeting tight deadlines.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autoSpaceDE w:val="0"/>
              <w:autoSpaceDN w:val="0"/>
              <w:adjustRightInd w:val="0"/>
              <w:rPr>
                <w:rFonts w:ascii="Calibri" w:hAnsi="Calibri" w:cs="Calibri"/>
                <w:b/>
                <w:bCs/>
              </w:rPr>
            </w:pPr>
            <w:r w:rsidRPr="005672BF">
              <w:rPr>
                <w:rFonts w:ascii="Calibri" w:hAnsi="Calibri"/>
              </w:rPr>
              <w:t>Experience of dealing with Hardware and Software suppliers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w:t>
            </w:r>
          </w:p>
        </w:tc>
      </w:tr>
      <w:tr w:rsidR="00794240" w:rsidRPr="008B3AED" w:rsidTr="005672BF">
        <w:trPr>
          <w:trHeight w:val="70"/>
        </w:trPr>
        <w:tc>
          <w:tcPr>
            <w:tcW w:w="8642" w:type="dxa"/>
            <w:shd w:val="clear" w:color="auto" w:fill="auto"/>
          </w:tcPr>
          <w:p w:rsidR="00794240" w:rsidRPr="005672BF" w:rsidRDefault="00794240" w:rsidP="007A6D9A">
            <w:pPr>
              <w:rPr>
                <w:rFonts w:ascii="Calibri" w:hAnsi="Calibri"/>
              </w:rPr>
            </w:pPr>
            <w:r w:rsidRPr="005672BF">
              <w:rPr>
                <w:rFonts w:ascii="Calibri" w:hAnsi="Calibri"/>
              </w:rPr>
              <w:t>Experience of preparing and running formal training sessions such as:</w:t>
            </w:r>
          </w:p>
          <w:p w:rsidR="00794240" w:rsidRPr="005672BF" w:rsidRDefault="00794240" w:rsidP="00794240">
            <w:pPr>
              <w:numPr>
                <w:ilvl w:val="0"/>
                <w:numId w:val="36"/>
              </w:numPr>
              <w:rPr>
                <w:rFonts w:ascii="Calibri" w:hAnsi="Calibri"/>
              </w:rPr>
            </w:pPr>
            <w:r w:rsidRPr="005672BF">
              <w:rPr>
                <w:rFonts w:ascii="Calibri" w:hAnsi="Calibri"/>
              </w:rPr>
              <w:t>Training to schools’ staff on relevant administrative applications</w:t>
            </w:r>
          </w:p>
          <w:p w:rsidR="00794240" w:rsidRPr="005672BF" w:rsidRDefault="00794240" w:rsidP="00794240">
            <w:pPr>
              <w:numPr>
                <w:ilvl w:val="0"/>
                <w:numId w:val="36"/>
              </w:numPr>
              <w:rPr>
                <w:rFonts w:ascii="Calibri" w:hAnsi="Calibri"/>
              </w:rPr>
            </w:pPr>
            <w:r w:rsidRPr="005672BF">
              <w:rPr>
                <w:rFonts w:ascii="Calibri" w:hAnsi="Calibri"/>
              </w:rPr>
              <w:t>Training to teachers on use of core teaching software - SMART Notebook, Office, Target Tracker, SIMS, RDS</w:t>
            </w:r>
          </w:p>
          <w:p w:rsidR="00794240" w:rsidRPr="005672BF" w:rsidRDefault="00794240" w:rsidP="00794240">
            <w:pPr>
              <w:numPr>
                <w:ilvl w:val="0"/>
                <w:numId w:val="36"/>
              </w:numPr>
              <w:rPr>
                <w:rFonts w:ascii="Calibri" w:hAnsi="Calibri"/>
              </w:rPr>
            </w:pPr>
            <w:r w:rsidRPr="005672BF">
              <w:rPr>
                <w:rFonts w:ascii="Calibri" w:hAnsi="Calibri"/>
              </w:rPr>
              <w:t>Training for relevant RBC support services (</w:t>
            </w:r>
            <w:proofErr w:type="spellStart"/>
            <w:r w:rsidRPr="005672BF">
              <w:rPr>
                <w:rFonts w:ascii="Calibri" w:hAnsi="Calibri"/>
              </w:rPr>
              <w:t>LGfL</w:t>
            </w:r>
            <w:proofErr w:type="spellEnd"/>
            <w:r w:rsidRPr="005672BF">
              <w:rPr>
                <w:rFonts w:ascii="Calibri" w:hAnsi="Calibri"/>
              </w:rPr>
              <w:t xml:space="preserve"> content)</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autoSpaceDE w:val="0"/>
              <w:autoSpaceDN w:val="0"/>
              <w:adjustRightInd w:val="0"/>
              <w:rPr>
                <w:rFonts w:ascii="Calibri" w:hAnsi="Calibri" w:cs="Calibri"/>
                <w:b/>
                <w:bCs/>
              </w:rPr>
            </w:pPr>
            <w:r w:rsidRPr="005672BF">
              <w:rPr>
                <w:rFonts w:ascii="Calibri" w:hAnsi="Calibri"/>
              </w:rPr>
              <w:t>Experience of working in a school environment.</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w:t>
            </w:r>
          </w:p>
        </w:tc>
      </w:tr>
      <w:tr w:rsidR="00794240" w:rsidRPr="00F55FEE" w:rsidTr="005672BF">
        <w:trPr>
          <w:trHeight w:val="70"/>
        </w:trPr>
        <w:tc>
          <w:tcPr>
            <w:tcW w:w="8642" w:type="dxa"/>
            <w:shd w:val="clear" w:color="auto" w:fill="D9D9D9"/>
          </w:tcPr>
          <w:p w:rsidR="00794240" w:rsidRPr="005672BF" w:rsidRDefault="00794240" w:rsidP="007A6D9A">
            <w:pPr>
              <w:pStyle w:val="Default"/>
              <w:rPr>
                <w:rFonts w:asciiTheme="minorHAnsi" w:hAnsiTheme="minorHAnsi"/>
              </w:rPr>
            </w:pPr>
            <w:r w:rsidRPr="005672BF">
              <w:rPr>
                <w:rFonts w:asciiTheme="minorHAnsi" w:hAnsiTheme="minorHAnsi" w:cs="Calibri"/>
                <w:b/>
                <w:bCs/>
              </w:rPr>
              <w:t xml:space="preserve">Skills </w:t>
            </w:r>
          </w:p>
        </w:tc>
        <w:tc>
          <w:tcPr>
            <w:tcW w:w="1531" w:type="dxa"/>
            <w:shd w:val="clear" w:color="auto" w:fill="auto"/>
          </w:tcPr>
          <w:p w:rsidR="00794240" w:rsidRPr="005672BF" w:rsidRDefault="00794240" w:rsidP="00794240">
            <w:pPr>
              <w:autoSpaceDE w:val="0"/>
              <w:autoSpaceDN w:val="0"/>
              <w:adjustRightInd w:val="0"/>
              <w:rPr>
                <w:rFonts w:asciiTheme="minorHAnsi" w:hAnsiTheme="minorHAnsi" w:cs="Calibri"/>
                <w:b/>
                <w:bCs/>
              </w:rPr>
            </w:pP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rPr>
              <w:t>Excellent written and oral communication skills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r w:rsidRPr="005672BF">
              <w:rPr>
                <w:rFonts w:ascii="Calibri" w:hAnsi="Calibri" w:cs="Arial"/>
                <w:b/>
              </w:rPr>
              <w:t xml:space="preserve"> </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rPr>
            </w:pPr>
            <w:r w:rsidRPr="005672BF">
              <w:rPr>
                <w:rFonts w:ascii="Calibri" w:hAnsi="Calibri" w:cs="Calibri"/>
                <w:bCs/>
              </w:rPr>
              <w:t>Microsoft Windows Server 2008/2016, iOS, MacOS, Android and Chrome OS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pStyle w:val="Default"/>
              <w:rPr>
                <w:rFonts w:ascii="Calibri" w:hAnsi="Calibri" w:cs="Calibri"/>
                <w:bCs/>
              </w:rPr>
            </w:pPr>
            <w:r w:rsidRPr="005672BF">
              <w:rPr>
                <w:rFonts w:ascii="Calibri" w:hAnsi="Calibri" w:cs="Calibri"/>
                <w:bCs/>
              </w:rPr>
              <w:t>Microsoft Windows 7/10, Microsoft Office Professional 2010/2013/2016</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rPr>
                <w:rFonts w:ascii="Calibri" w:hAnsi="Calibri" w:cs="Calibri"/>
                <w:bCs/>
              </w:rPr>
            </w:pPr>
            <w:r w:rsidRPr="005672BF">
              <w:rPr>
                <w:rFonts w:ascii="Calibri" w:hAnsi="Calibri"/>
              </w:rPr>
              <w:t>Commitment to Customer Care</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autoSpaceDE w:val="0"/>
              <w:autoSpaceDN w:val="0"/>
              <w:adjustRightInd w:val="0"/>
              <w:rPr>
                <w:rFonts w:ascii="Calibri" w:hAnsi="Calibri" w:cs="Calibri"/>
                <w:bCs/>
              </w:rPr>
            </w:pPr>
            <w:r w:rsidRPr="005672BF">
              <w:rPr>
                <w:rFonts w:ascii="Calibri" w:hAnsi="Calibri" w:cs="Arial"/>
              </w:rPr>
              <w:t>Ability to demonstrate an understanding of the Council’s equal opportunities policy in respect of service delivery, and an awareness of the needs of differing cultural groups and other minority groups.</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Arial"/>
                <w:b/>
              </w:rPr>
            </w:pPr>
            <w:r w:rsidRPr="005672BF">
              <w:rPr>
                <w:rFonts w:ascii="Calibri" w:hAnsi="Calibri" w:cs="Calibri"/>
                <w:b/>
                <w:bCs/>
              </w:rPr>
              <w:t>A, I, T</w:t>
            </w:r>
          </w:p>
        </w:tc>
      </w:tr>
      <w:tr w:rsidR="00794240" w:rsidRPr="008B3AED" w:rsidTr="005672BF">
        <w:trPr>
          <w:trHeight w:val="70"/>
        </w:trPr>
        <w:tc>
          <w:tcPr>
            <w:tcW w:w="8642" w:type="dxa"/>
            <w:shd w:val="clear" w:color="auto" w:fill="auto"/>
          </w:tcPr>
          <w:p w:rsidR="00794240" w:rsidRPr="005672BF" w:rsidRDefault="00794240" w:rsidP="007A6D9A">
            <w:pPr>
              <w:autoSpaceDE w:val="0"/>
              <w:autoSpaceDN w:val="0"/>
              <w:adjustRightInd w:val="0"/>
              <w:rPr>
                <w:rFonts w:ascii="Calibri" w:hAnsi="Calibri" w:cs="Calibri"/>
                <w:bCs/>
              </w:rPr>
            </w:pPr>
            <w:r w:rsidRPr="005672BF">
              <w:rPr>
                <w:rFonts w:ascii="Calibri" w:hAnsi="Calibri" w:cs="Arial"/>
                <w:lang w:val="en-US" w:eastAsia="en-US"/>
              </w:rPr>
              <w:t>To be fully aware of and understand the duties and responsibilities arising from the Children Act 2004 and Working Together in relation to child protection and safeguarding children and young people as this applies to your role within the Council.</w:t>
            </w:r>
          </w:p>
        </w:tc>
        <w:tc>
          <w:tcPr>
            <w:tcW w:w="1531" w:type="dxa"/>
            <w:shd w:val="clear" w:color="auto" w:fill="auto"/>
          </w:tcPr>
          <w:p w:rsidR="00794240" w:rsidRPr="005672BF" w:rsidRDefault="00794240" w:rsidP="007A6D9A">
            <w:pPr>
              <w:autoSpaceDE w:val="0"/>
              <w:autoSpaceDN w:val="0"/>
              <w:adjustRightInd w:val="0"/>
              <w:jc w:val="center"/>
              <w:rPr>
                <w:rFonts w:ascii="Calibri" w:hAnsi="Calibri" w:cs="Calibri"/>
                <w:b/>
                <w:bCs/>
              </w:rPr>
            </w:pPr>
            <w:r w:rsidRPr="005672BF">
              <w:rPr>
                <w:rFonts w:ascii="Calibri" w:hAnsi="Calibri" w:cs="Calibri"/>
                <w:b/>
                <w:bCs/>
              </w:rPr>
              <w:t>A, I, T</w:t>
            </w:r>
          </w:p>
        </w:tc>
      </w:tr>
    </w:tbl>
    <w:p w:rsidR="00794240" w:rsidRPr="00975F12" w:rsidRDefault="00794240" w:rsidP="00975F12">
      <w:pPr>
        <w:shd w:val="clear" w:color="auto" w:fill="FFFFFF"/>
        <w:spacing w:before="120" w:after="120"/>
        <w:textAlignment w:val="top"/>
        <w:outlineLvl w:val="3"/>
        <w:rPr>
          <w:rFonts w:ascii="Calibri" w:hAnsi="Calibri"/>
        </w:rPr>
      </w:pPr>
    </w:p>
    <w:p w:rsidR="00BB4DD8" w:rsidRPr="00D57313" w:rsidRDefault="00AB7915">
      <w:pPr>
        <w:rPr>
          <w:rFonts w:ascii="Calibri" w:hAnsi="Calibri"/>
          <w:sz w:val="12"/>
          <w:szCs w:val="12"/>
        </w:rPr>
      </w:pPr>
      <w:r w:rsidRPr="0049147F">
        <w:rPr>
          <w:rFonts w:ascii="Calibri" w:hAnsi="Calibri"/>
          <w:sz w:val="12"/>
          <w:szCs w:val="12"/>
        </w:rPr>
        <w:t xml:space="preserve"> </w:t>
      </w:r>
    </w:p>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5672BF">
      <w:headerReference w:type="default" r:id="rId8"/>
      <w:footerReference w:type="default" r:id="rId9"/>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E9" w:rsidRDefault="00CF52E9" w:rsidP="003E5354">
      <w:r>
        <w:separator/>
      </w:r>
    </w:p>
  </w:endnote>
  <w:endnote w:type="continuationSeparator" w:id="0">
    <w:p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E9" w:rsidRDefault="00CF52E9" w:rsidP="003E5354">
      <w:r>
        <w:separator/>
      </w:r>
    </w:p>
  </w:footnote>
  <w:footnote w:type="continuationSeparator" w:id="0">
    <w:p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15656E" w:rsidRDefault="005672BF"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288" behindDoc="0" locked="0" layoutInCell="1" allowOverlap="1" wp14:anchorId="2FC4F727" wp14:editId="324A5DDF">
          <wp:simplePos x="0" y="0"/>
          <wp:positionH relativeFrom="margin">
            <wp:align>center</wp:align>
          </wp:positionH>
          <wp:positionV relativeFrom="paragraph">
            <wp:posOffset>-229235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E94">
      <w:rPr>
        <w:rFonts w:ascii="Arial" w:hAnsi="Arial" w:cs="Arial"/>
        <w:b/>
        <w:noProof/>
        <w:sz w:val="28"/>
        <w:szCs w:val="20"/>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6a8b4ca1a108dbe1b01196d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6E94" w:rsidRPr="00C66E94" w:rsidRDefault="00C66E94" w:rsidP="00C66E94">
                          <w:pPr>
                            <w:rPr>
                              <w:rFonts w:ascii="Calibri" w:hAnsi="Calibri"/>
                              <w:color w:val="000000"/>
                              <w:sz w:val="20"/>
                            </w:rPr>
                          </w:pPr>
                          <w:r w:rsidRPr="00C66E9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a8b4ca1a108dbe1b01196d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Aom9gnFwMAADcGAAAOAAAAAAAAAAAAAAAAAC4C&#10;AABkcnMvZTJvRG9jLnhtbFBLAQItABQABgAIAAAAIQBpAd4j3AAAAAcBAAAPAAAAAAAAAAAAAAAA&#10;AHEFAABkcnMvZG93bnJldi54bWxQSwUGAAAAAAQABADzAAAAegYAAAAA&#10;" o:allowincell="f" filled="f" stroked="f" strokeweight=".5pt">
              <v:textbox inset="20pt,0,,0">
                <w:txbxContent>
                  <w:p w:rsidR="00C66E94" w:rsidRPr="00C66E94" w:rsidRDefault="00C66E94" w:rsidP="00C66E94">
                    <w:pPr>
                      <w:rPr>
                        <w:rFonts w:ascii="Calibri" w:hAnsi="Calibri"/>
                        <w:color w:val="000000"/>
                        <w:sz w:val="20"/>
                      </w:rPr>
                    </w:pPr>
                    <w:r w:rsidRPr="00C66E94">
                      <w:rPr>
                        <w:rFonts w:ascii="Calibri" w:hAnsi="Calibri"/>
                        <w:color w:val="000000"/>
                        <w:sz w:val="20"/>
                      </w:rPr>
                      <w:t>Official</w:t>
                    </w:r>
                  </w:p>
                </w:txbxContent>
              </v:textbox>
              <w10:wrap anchorx="page" anchory="page"/>
            </v:shape>
          </w:pict>
        </mc:Fallback>
      </mc:AlternateContent>
    </w:r>
  </w:p>
  <w:p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D4F29"/>
    <w:multiLevelType w:val="hybridMultilevel"/>
    <w:tmpl w:val="1DA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C83979"/>
    <w:multiLevelType w:val="hybridMultilevel"/>
    <w:tmpl w:val="4BE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380D61"/>
    <w:multiLevelType w:val="multilevel"/>
    <w:tmpl w:val="E4A8C6EC"/>
    <w:lvl w:ilvl="0">
      <w:start w:val="1"/>
      <w:numFmt w:val="decimal"/>
      <w:lvlText w:val="%1."/>
      <w:lvlJc w:val="left"/>
      <w:pPr>
        <w:tabs>
          <w:tab w:val="num" w:pos="360"/>
        </w:tabs>
        <w:ind w:left="360" w:hanging="360"/>
      </w:pPr>
    </w:lvl>
    <w:lvl w:ilvl="1">
      <w:start w:val="1"/>
      <w:numFmt w:val="decimal"/>
      <w:lvlText w:val="%1.%2."/>
      <w:lvlJc w:val="left"/>
      <w:pPr>
        <w:tabs>
          <w:tab w:val="num" w:pos="1800"/>
        </w:tabs>
        <w:ind w:left="1800" w:hanging="144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0F5982"/>
    <w:multiLevelType w:val="hybridMultilevel"/>
    <w:tmpl w:val="BB986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53A57"/>
    <w:multiLevelType w:val="hybridMultilevel"/>
    <w:tmpl w:val="D6D8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30"/>
  </w:num>
  <w:num w:numId="6">
    <w:abstractNumId w:val="4"/>
  </w:num>
  <w:num w:numId="7">
    <w:abstractNumId w:val="3"/>
  </w:num>
  <w:num w:numId="8">
    <w:abstractNumId w:val="15"/>
  </w:num>
  <w:num w:numId="9">
    <w:abstractNumId w:val="2"/>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5"/>
  </w:num>
  <w:num w:numId="19">
    <w:abstractNumId w:val="18"/>
  </w:num>
  <w:num w:numId="20">
    <w:abstractNumId w:val="12"/>
  </w:num>
  <w:num w:numId="21">
    <w:abstractNumId w:val="29"/>
  </w:num>
  <w:num w:numId="22">
    <w:abstractNumId w:val="24"/>
  </w:num>
  <w:num w:numId="23">
    <w:abstractNumId w:val="27"/>
  </w:num>
  <w:num w:numId="24">
    <w:abstractNumId w:val="20"/>
  </w:num>
  <w:num w:numId="25">
    <w:abstractNumId w:val="0"/>
  </w:num>
  <w:num w:numId="26">
    <w:abstractNumId w:val="17"/>
  </w:num>
  <w:num w:numId="27">
    <w:abstractNumId w:val="31"/>
  </w:num>
  <w:num w:numId="28">
    <w:abstractNumId w:val="5"/>
  </w:num>
  <w:num w:numId="29">
    <w:abstractNumId w:val="32"/>
  </w:num>
  <w:num w:numId="30">
    <w:abstractNumId w:val="7"/>
  </w:num>
  <w:num w:numId="31">
    <w:abstractNumId w:val="2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E45"/>
    <w:rsid w:val="000168A3"/>
    <w:rsid w:val="00016929"/>
    <w:rsid w:val="00040A31"/>
    <w:rsid w:val="00041902"/>
    <w:rsid w:val="000621A9"/>
    <w:rsid w:val="00074F15"/>
    <w:rsid w:val="000B4643"/>
    <w:rsid w:val="000B61A4"/>
    <w:rsid w:val="000E281C"/>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2AD0"/>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672BF"/>
    <w:rsid w:val="005750CD"/>
    <w:rsid w:val="0058438B"/>
    <w:rsid w:val="005907BB"/>
    <w:rsid w:val="00591F9B"/>
    <w:rsid w:val="00597320"/>
    <w:rsid w:val="00597977"/>
    <w:rsid w:val="005B3EBF"/>
    <w:rsid w:val="005B7ACA"/>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4240"/>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1A3A"/>
    <w:rsid w:val="00C22178"/>
    <w:rsid w:val="00C27BD9"/>
    <w:rsid w:val="00C350DD"/>
    <w:rsid w:val="00C4011A"/>
    <w:rsid w:val="00C41C88"/>
    <w:rsid w:val="00C45352"/>
    <w:rsid w:val="00C50C08"/>
    <w:rsid w:val="00C55803"/>
    <w:rsid w:val="00C62BA2"/>
    <w:rsid w:val="00C66E94"/>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2F6B5234"/>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79424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6018400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28534330">
      <w:bodyDiv w:val="1"/>
      <w:marLeft w:val="0"/>
      <w:marRight w:val="0"/>
      <w:marTop w:val="0"/>
      <w:marBottom w:val="0"/>
      <w:divBdr>
        <w:top w:val="none" w:sz="0" w:space="0" w:color="auto"/>
        <w:left w:val="none" w:sz="0" w:space="0" w:color="auto"/>
        <w:bottom w:val="none" w:sz="0" w:space="0" w:color="auto"/>
        <w:right w:val="none" w:sz="0" w:space="0" w:color="auto"/>
      </w:divBdr>
    </w:div>
    <w:div w:id="20738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2EBF-49D0-427F-A75D-963A84C1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4F2090C6</Template>
  <TotalTime>1</TotalTime>
  <Pages>6</Pages>
  <Words>1626</Words>
  <Characters>9262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10867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Harrison, Caroline</cp:lastModifiedBy>
  <cp:revision>2</cp:revision>
  <cp:lastPrinted>2017-06-16T09:03:00Z</cp:lastPrinted>
  <dcterms:created xsi:type="dcterms:W3CDTF">2019-06-17T09:33:00Z</dcterms:created>
  <dcterms:modified xsi:type="dcterms:W3CDTF">2019-06-17T09:33:00Z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